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F9308" w14:textId="77777777" w:rsidR="00C87605" w:rsidRDefault="00420B4A">
      <w:pPr>
        <w:pBdr>
          <w:bottom w:val="single" w:sz="6" w:space="1" w:color="auto"/>
        </w:pBdr>
        <w:rPr>
          <w:b/>
        </w:rPr>
      </w:pPr>
      <w:r w:rsidRPr="005C3E00">
        <w:rPr>
          <w:b/>
        </w:rPr>
        <w:t>Toestemming</w:t>
      </w:r>
      <w:r w:rsidR="005C3E00">
        <w:rPr>
          <w:b/>
        </w:rPr>
        <w:t xml:space="preserve"> </w:t>
      </w:r>
      <w:r w:rsidR="00661354">
        <w:rPr>
          <w:b/>
        </w:rPr>
        <w:tab/>
      </w:r>
      <w:r w:rsidR="00661354">
        <w:rPr>
          <w:b/>
        </w:rPr>
        <w:tab/>
      </w:r>
      <w:r w:rsidR="00661354">
        <w:rPr>
          <w:b/>
        </w:rPr>
        <w:tab/>
      </w:r>
      <w:r w:rsidR="00661354">
        <w:rPr>
          <w:b/>
        </w:rPr>
        <w:tab/>
      </w:r>
      <w:r w:rsidR="00661354">
        <w:rPr>
          <w:b/>
        </w:rPr>
        <w:tab/>
      </w:r>
      <w:r w:rsidR="00661354">
        <w:rPr>
          <w:b/>
        </w:rPr>
        <w:tab/>
      </w:r>
      <w:r w:rsidR="00661354">
        <w:rPr>
          <w:b/>
        </w:rPr>
        <w:tab/>
      </w:r>
      <w:r w:rsidR="00661354">
        <w:rPr>
          <w:b/>
        </w:rPr>
        <w:tab/>
      </w:r>
      <w:r w:rsidR="00661354">
        <w:rPr>
          <w:b/>
        </w:rPr>
        <w:tab/>
      </w:r>
      <w:r w:rsidR="00661354">
        <w:rPr>
          <w:b/>
        </w:rPr>
        <w:tab/>
      </w:r>
      <w:r w:rsidR="002C7A1D">
        <w:rPr>
          <w:i/>
          <w:sz w:val="20"/>
        </w:rPr>
        <w:t>september</w:t>
      </w:r>
      <w:r w:rsidR="00661354" w:rsidRPr="00661354">
        <w:rPr>
          <w:i/>
          <w:sz w:val="20"/>
        </w:rPr>
        <w:t xml:space="preserve"> 2019</w:t>
      </w:r>
    </w:p>
    <w:p w14:paraId="3CC85F84" w14:textId="77777777" w:rsidR="00661354" w:rsidRPr="00661354" w:rsidRDefault="00661354">
      <w:pPr>
        <w:rPr>
          <w:b/>
        </w:rPr>
      </w:pPr>
    </w:p>
    <w:p w14:paraId="6E051AF9" w14:textId="77777777" w:rsidR="00C87605" w:rsidRDefault="00C87605">
      <w:r w:rsidRPr="00C87605">
        <w:t>Toestemming is de juridische basis voor alle vormen van</w:t>
      </w:r>
      <w:r>
        <w:rPr>
          <w:i/>
        </w:rPr>
        <w:t xml:space="preserve"> </w:t>
      </w:r>
      <w:r>
        <w:t>informatieverstrekking, hulp, behandeling, begeleiding, diagnostiek en/of wetenschappelijk onderzoek.</w:t>
      </w:r>
    </w:p>
    <w:p w14:paraId="54E8C25C" w14:textId="77777777" w:rsidR="00C255CD" w:rsidRDefault="00C255CD"/>
    <w:p w14:paraId="00751FAA" w14:textId="77777777" w:rsidR="00C255CD" w:rsidRDefault="00C255CD">
      <w:r>
        <w:t xml:space="preserve">Toestemming is </w:t>
      </w:r>
      <w:r w:rsidRPr="002C7A1D">
        <w:rPr>
          <w:u w:val="single"/>
        </w:rPr>
        <w:t>niet</w:t>
      </w:r>
      <w:r>
        <w:t xml:space="preserve"> noodzakelijk: </w:t>
      </w:r>
    </w:p>
    <w:p w14:paraId="284C60E0" w14:textId="77777777" w:rsidR="00C255CD" w:rsidRDefault="00C255CD" w:rsidP="00C255CD">
      <w:pPr>
        <w:pStyle w:val="Lijstalinea"/>
        <w:numPr>
          <w:ilvl w:val="0"/>
          <w:numId w:val="3"/>
        </w:numPr>
        <w:rPr>
          <w:iCs/>
        </w:rPr>
      </w:pPr>
      <w:r>
        <w:rPr>
          <w:iCs/>
        </w:rPr>
        <w:t>Voor a</w:t>
      </w:r>
      <w:r w:rsidRPr="00C255CD">
        <w:rPr>
          <w:iCs/>
        </w:rPr>
        <w:t>dvisering</w:t>
      </w:r>
      <w:r>
        <w:rPr>
          <w:iCs/>
        </w:rPr>
        <w:t xml:space="preserve"> of observatie door een directe collega gericht op het handelen van de professional</w:t>
      </w:r>
    </w:p>
    <w:p w14:paraId="152D39FC" w14:textId="77777777" w:rsidR="00C255CD" w:rsidRDefault="00C255CD" w:rsidP="00C255CD">
      <w:pPr>
        <w:pStyle w:val="Lijstalinea"/>
        <w:numPr>
          <w:ilvl w:val="0"/>
          <w:numId w:val="3"/>
        </w:numPr>
      </w:pPr>
      <w:r>
        <w:t xml:space="preserve">Om te voldoen aan </w:t>
      </w:r>
      <w:r w:rsidR="002C7A1D">
        <w:t>e</w:t>
      </w:r>
      <w:r>
        <w:t>e</w:t>
      </w:r>
      <w:r w:rsidR="002C7A1D">
        <w:t>n</w:t>
      </w:r>
      <w:r>
        <w:t xml:space="preserve"> wettelijke </w:t>
      </w:r>
      <w:r w:rsidR="002C7A1D">
        <w:t>ver</w:t>
      </w:r>
      <w:r>
        <w:t>plicht</w:t>
      </w:r>
      <w:r w:rsidR="002C7A1D">
        <w:t>ing</w:t>
      </w:r>
    </w:p>
    <w:p w14:paraId="031637E7" w14:textId="77777777" w:rsidR="00C255CD" w:rsidRDefault="00C255CD" w:rsidP="00C255CD">
      <w:pPr>
        <w:ind w:left="720"/>
      </w:pPr>
      <w:r>
        <w:t>Zo is een school bijvoorbeeld in het kader van de leerplichtregelgeving verplicht ongeoorloofd verzuim van een schoolplicht</w:t>
      </w:r>
      <w:r w:rsidR="002C7A1D">
        <w:t>ige</w:t>
      </w:r>
      <w:r>
        <w:t xml:space="preserve"> leerling door te geven aan de leerplichtambtenaar.</w:t>
      </w:r>
    </w:p>
    <w:p w14:paraId="066B4F5B" w14:textId="77777777" w:rsidR="00C255CD" w:rsidRDefault="006C04E2" w:rsidP="00C255CD">
      <w:pPr>
        <w:pStyle w:val="Lijstalinea"/>
        <w:numPr>
          <w:ilvl w:val="0"/>
          <w:numId w:val="3"/>
        </w:numPr>
        <w:rPr>
          <w:iCs/>
        </w:rPr>
      </w:pPr>
      <w:r>
        <w:rPr>
          <w:iCs/>
        </w:rPr>
        <w:t>Als het gaat om b</w:t>
      </w:r>
      <w:r w:rsidR="00C255CD">
        <w:rPr>
          <w:iCs/>
        </w:rPr>
        <w:t>escherming van vitale belangen</w:t>
      </w:r>
    </w:p>
    <w:p w14:paraId="5DD01B41" w14:textId="77777777" w:rsidR="00C255CD" w:rsidRPr="00C255CD" w:rsidRDefault="00C255CD" w:rsidP="00C255CD">
      <w:pPr>
        <w:ind w:left="720"/>
        <w:rPr>
          <w:iCs/>
        </w:rPr>
      </w:pPr>
      <w:r>
        <w:rPr>
          <w:iCs/>
        </w:rPr>
        <w:t>Zoals dringende medische noodzaak, een situatie van leven of dood</w:t>
      </w:r>
    </w:p>
    <w:p w14:paraId="13B286DA" w14:textId="77777777" w:rsidR="00C255CD" w:rsidRDefault="006C04E2" w:rsidP="00C255CD">
      <w:pPr>
        <w:pStyle w:val="Lijstalinea"/>
        <w:numPr>
          <w:ilvl w:val="0"/>
          <w:numId w:val="3"/>
        </w:numPr>
        <w:rPr>
          <w:iCs/>
        </w:rPr>
      </w:pPr>
      <w:r>
        <w:rPr>
          <w:iCs/>
        </w:rPr>
        <w:t xml:space="preserve">Voor een taak in het algemeen belang of voor de uitoefening van het openbaar gezag </w:t>
      </w:r>
    </w:p>
    <w:p w14:paraId="42EC1DE8" w14:textId="77777777" w:rsidR="006C04E2" w:rsidRPr="00C255CD" w:rsidRDefault="006C04E2" w:rsidP="00C255CD">
      <w:pPr>
        <w:pStyle w:val="Lijstalinea"/>
        <w:numPr>
          <w:ilvl w:val="0"/>
          <w:numId w:val="3"/>
        </w:numPr>
        <w:rPr>
          <w:iCs/>
        </w:rPr>
      </w:pPr>
      <w:r>
        <w:rPr>
          <w:iCs/>
        </w:rPr>
        <w:t>Voor de behartiging van het gerechtvaardigd belang</w:t>
      </w:r>
    </w:p>
    <w:p w14:paraId="77441669" w14:textId="77777777" w:rsidR="00420B4A" w:rsidRDefault="00420B4A"/>
    <w:p w14:paraId="0A1C9EC7" w14:textId="77777777" w:rsidR="00420B4A" w:rsidRDefault="00420B4A">
      <w:r>
        <w:t>Tot 12 jaar: toestemming ouders/voogd</w:t>
      </w:r>
    </w:p>
    <w:p w14:paraId="0703E9AD" w14:textId="77777777" w:rsidR="00420B4A" w:rsidRDefault="00420B4A">
      <w:r>
        <w:t>12-16 jaar: ouders en jongere beslissen samen</w:t>
      </w:r>
    </w:p>
    <w:p w14:paraId="3C2839DC" w14:textId="77777777" w:rsidR="00420B4A" w:rsidRDefault="00420B4A">
      <w:r>
        <w:t>16 jaar &gt;: jongere beslist zelf</w:t>
      </w:r>
    </w:p>
    <w:p w14:paraId="6E40869C" w14:textId="77777777" w:rsidR="00420B4A" w:rsidRDefault="00420B4A">
      <w:r>
        <w:t>Wilsonbekwaam: (ook) toestemming van de wettelijke vertegenwoordiger</w:t>
      </w:r>
    </w:p>
    <w:p w14:paraId="3C78F8C5" w14:textId="77777777" w:rsidR="00420B4A" w:rsidRDefault="00420B4A"/>
    <w:p w14:paraId="07EC7F34" w14:textId="77777777" w:rsidR="003A02F6" w:rsidRPr="003A02F6" w:rsidRDefault="005C3E00">
      <w:pPr>
        <w:rPr>
          <w:sz w:val="28"/>
          <w:szCs w:val="28"/>
        </w:rPr>
      </w:pPr>
      <w:r w:rsidRPr="003A02F6">
        <w:rPr>
          <w:sz w:val="28"/>
          <w:szCs w:val="28"/>
        </w:rPr>
        <w:t>Vraag gericht toestemming</w:t>
      </w:r>
    </w:p>
    <w:p w14:paraId="16D89502" w14:textId="77777777" w:rsidR="003A02F6" w:rsidRDefault="003A02F6">
      <w:r>
        <w:t>Toestemming dient:</w:t>
      </w:r>
    </w:p>
    <w:p w14:paraId="0DD91A2A" w14:textId="77777777" w:rsidR="003A02F6" w:rsidRDefault="003A02F6" w:rsidP="003A02F6">
      <w:pPr>
        <w:pStyle w:val="Lijstalinea"/>
        <w:numPr>
          <w:ilvl w:val="0"/>
          <w:numId w:val="2"/>
        </w:numPr>
      </w:pPr>
      <w:r>
        <w:t xml:space="preserve">Vrij te worden gegeven. Er moet keuze zijn te weigeren. </w:t>
      </w:r>
    </w:p>
    <w:p w14:paraId="5CCD65B8" w14:textId="77777777" w:rsidR="003A02F6" w:rsidRDefault="003A02F6" w:rsidP="003A02F6">
      <w:pPr>
        <w:pStyle w:val="Lijstalinea"/>
        <w:numPr>
          <w:ilvl w:val="0"/>
          <w:numId w:val="2"/>
        </w:numPr>
      </w:pPr>
      <w:r>
        <w:t>Specifiek en geïnformeerd te worden gevraagd. Leg uit wat de behandeling of het onderzoek inhoudt</w:t>
      </w:r>
      <w:r w:rsidR="002C7A1D">
        <w:t>, wat het doel is van de registratie van de betreffende gegevens, wie inzage heeft en voor welke termijn de gegevens worden bewaard</w:t>
      </w:r>
    </w:p>
    <w:p w14:paraId="4EC420FB" w14:textId="77777777" w:rsidR="003A02F6" w:rsidRDefault="003A02F6" w:rsidP="003A02F6">
      <w:pPr>
        <w:pStyle w:val="Lijstalinea"/>
        <w:numPr>
          <w:ilvl w:val="0"/>
          <w:numId w:val="2"/>
        </w:numPr>
      </w:pPr>
      <w:r>
        <w:t>Ondubbelzinnig te zijn</w:t>
      </w:r>
    </w:p>
    <w:p w14:paraId="55320E8E" w14:textId="77777777" w:rsidR="00521FCA" w:rsidRPr="001D4DD5" w:rsidRDefault="00521FCA" w:rsidP="003A02F6">
      <w:pPr>
        <w:pStyle w:val="Lijstalinea"/>
        <w:numPr>
          <w:ilvl w:val="0"/>
          <w:numId w:val="2"/>
        </w:numPr>
      </w:pPr>
      <w:r w:rsidRPr="001D4DD5">
        <w:t>Elk moment weer ingetrokken te kunnen worden</w:t>
      </w:r>
      <w:r w:rsidR="00AB762A" w:rsidRPr="001D4DD5">
        <w:t>. Verwerking van gegevens verstrekt voor dat moment, blijft rechtmatig. Noteer in het dossier de datum van de intrekking</w:t>
      </w:r>
    </w:p>
    <w:p w14:paraId="7C654176" w14:textId="77777777" w:rsidR="003A02F6" w:rsidRDefault="003A02F6" w:rsidP="003A02F6"/>
    <w:p w14:paraId="538D50F0" w14:textId="77777777" w:rsidR="003A02F6" w:rsidRDefault="003A02F6" w:rsidP="003A02F6">
      <w:pPr>
        <w:rPr>
          <w:sz w:val="28"/>
          <w:szCs w:val="28"/>
        </w:rPr>
      </w:pPr>
      <w:r w:rsidRPr="003A02F6">
        <w:rPr>
          <w:sz w:val="28"/>
          <w:szCs w:val="28"/>
        </w:rPr>
        <w:t>Schriftelijk of mondeling?</w:t>
      </w:r>
    </w:p>
    <w:p w14:paraId="6F66F7CD" w14:textId="77777777" w:rsidR="003A02F6" w:rsidRDefault="003A02F6" w:rsidP="003A02F6">
      <w:pPr>
        <w:rPr>
          <w:szCs w:val="22"/>
        </w:rPr>
      </w:pPr>
      <w:r>
        <w:rPr>
          <w:szCs w:val="22"/>
        </w:rPr>
        <w:t>Schriftelijke toestemming:</w:t>
      </w:r>
    </w:p>
    <w:p w14:paraId="5C3D73E6" w14:textId="77777777" w:rsidR="003A02F6" w:rsidRPr="003A02F6" w:rsidRDefault="003A02F6" w:rsidP="003A02F6">
      <w:pPr>
        <w:pStyle w:val="Lijstalinea"/>
        <w:numPr>
          <w:ilvl w:val="0"/>
          <w:numId w:val="2"/>
        </w:numPr>
        <w:rPr>
          <w:szCs w:val="22"/>
        </w:rPr>
      </w:pPr>
      <w:r>
        <w:rPr>
          <w:szCs w:val="22"/>
        </w:rPr>
        <w:t>In de vorm van een handtekening, het aankruisen van een optie of een mailtje</w:t>
      </w:r>
    </w:p>
    <w:p w14:paraId="3C942548" w14:textId="77777777" w:rsidR="003A02F6" w:rsidRDefault="003A02F6" w:rsidP="003A02F6">
      <w:pPr>
        <w:pStyle w:val="Lijstalinea"/>
        <w:numPr>
          <w:ilvl w:val="0"/>
          <w:numId w:val="2"/>
        </w:numPr>
        <w:rPr>
          <w:szCs w:val="22"/>
        </w:rPr>
      </w:pPr>
      <w:r>
        <w:rPr>
          <w:szCs w:val="22"/>
        </w:rPr>
        <w:t>Hoeft niet voorzien van een handtekening</w:t>
      </w:r>
    </w:p>
    <w:p w14:paraId="1A67161F" w14:textId="77777777" w:rsidR="003A02F6" w:rsidRDefault="003A02F6" w:rsidP="003A02F6">
      <w:pPr>
        <w:rPr>
          <w:szCs w:val="22"/>
        </w:rPr>
      </w:pPr>
      <w:r>
        <w:rPr>
          <w:szCs w:val="22"/>
        </w:rPr>
        <w:t>Mondelinge toestemming:</w:t>
      </w:r>
    </w:p>
    <w:p w14:paraId="7FC86A5D" w14:textId="77777777" w:rsidR="003A02F6" w:rsidRDefault="003A02F6" w:rsidP="003A02F6">
      <w:pPr>
        <w:pStyle w:val="Lijstalinea"/>
        <w:numPr>
          <w:ilvl w:val="0"/>
          <w:numId w:val="2"/>
        </w:numPr>
        <w:rPr>
          <w:szCs w:val="22"/>
        </w:rPr>
      </w:pPr>
      <w:r>
        <w:rPr>
          <w:szCs w:val="22"/>
        </w:rPr>
        <w:t>In de vorm van duidelijk knikken of gesproken woord</w:t>
      </w:r>
    </w:p>
    <w:p w14:paraId="46A58073" w14:textId="77777777" w:rsidR="003A02F6" w:rsidRPr="003A02F6" w:rsidRDefault="003A02F6" w:rsidP="003A02F6">
      <w:pPr>
        <w:pStyle w:val="Lijstalinea"/>
        <w:numPr>
          <w:ilvl w:val="0"/>
          <w:numId w:val="2"/>
        </w:numPr>
        <w:rPr>
          <w:szCs w:val="22"/>
        </w:rPr>
      </w:pPr>
      <w:r>
        <w:t>Vastgelegd in het dossier; noteer wanneer en voor welke specifieke situatie toestemming is gegeven.</w:t>
      </w:r>
    </w:p>
    <w:p w14:paraId="563D8F9F" w14:textId="77777777" w:rsidR="003A02F6" w:rsidRDefault="003A02F6" w:rsidP="003A02F6">
      <w:pPr>
        <w:pStyle w:val="Lijstalinea"/>
        <w:numPr>
          <w:ilvl w:val="0"/>
          <w:numId w:val="2"/>
        </w:numPr>
        <w:rPr>
          <w:szCs w:val="22"/>
        </w:rPr>
      </w:pPr>
      <w:r>
        <w:rPr>
          <w:szCs w:val="22"/>
        </w:rPr>
        <w:t>Bevestig indien mogelijk de mondelinge toestemming per mail of brief</w:t>
      </w:r>
    </w:p>
    <w:p w14:paraId="12BBAA6B" w14:textId="77777777" w:rsidR="003A02F6" w:rsidRDefault="003A02F6" w:rsidP="003A02F6">
      <w:pPr>
        <w:rPr>
          <w:szCs w:val="22"/>
        </w:rPr>
      </w:pPr>
      <w:r>
        <w:rPr>
          <w:szCs w:val="22"/>
        </w:rPr>
        <w:t xml:space="preserve">Schriftelijke toestemming verdient de voorkeur boven mondelinge. </w:t>
      </w:r>
    </w:p>
    <w:p w14:paraId="448594AD" w14:textId="77777777" w:rsidR="003A02F6" w:rsidRPr="003A02F6" w:rsidRDefault="003A02F6" w:rsidP="003A02F6">
      <w:pPr>
        <w:rPr>
          <w:sz w:val="28"/>
          <w:szCs w:val="28"/>
        </w:rPr>
      </w:pPr>
    </w:p>
    <w:p w14:paraId="53A58777" w14:textId="77777777" w:rsidR="00420B4A" w:rsidRDefault="00420B4A">
      <w:pPr>
        <w:rPr>
          <w:u w:val="single"/>
        </w:rPr>
      </w:pPr>
    </w:p>
    <w:p w14:paraId="104AB92C" w14:textId="77777777" w:rsidR="00E07456" w:rsidRPr="00EF472F" w:rsidRDefault="00EF472F">
      <w:pPr>
        <w:rPr>
          <w:u w:val="single"/>
        </w:rPr>
      </w:pPr>
      <w:r w:rsidRPr="00EF472F">
        <w:rPr>
          <w:u w:val="single"/>
        </w:rPr>
        <w:t>Gescheiden ouders</w:t>
      </w:r>
    </w:p>
    <w:p w14:paraId="1DAE97C4" w14:textId="77777777" w:rsidR="00EF472F" w:rsidRDefault="00EF472F"/>
    <w:p w14:paraId="4E00F851" w14:textId="77777777" w:rsidR="00EF472F" w:rsidRPr="005C3E00" w:rsidRDefault="00EF472F">
      <w:pPr>
        <w:rPr>
          <w:b/>
        </w:rPr>
      </w:pPr>
      <w:r w:rsidRPr="005C3E00">
        <w:rPr>
          <w:b/>
        </w:rPr>
        <w:t>Tot 16 jaar</w:t>
      </w:r>
    </w:p>
    <w:p w14:paraId="16432B85" w14:textId="77777777" w:rsidR="00EF472F" w:rsidRDefault="00EF472F" w:rsidP="00EF472F">
      <w:pPr>
        <w:pStyle w:val="Lijstalinea"/>
        <w:numPr>
          <w:ilvl w:val="0"/>
          <w:numId w:val="1"/>
        </w:numPr>
      </w:pPr>
      <w:r>
        <w:t>Aan beide wettelijk vertegenwoordigers toestemming vragen</w:t>
      </w:r>
    </w:p>
    <w:p w14:paraId="29E95CF8" w14:textId="77777777" w:rsidR="00EF472F" w:rsidRDefault="00EF472F" w:rsidP="00EF472F">
      <w:pPr>
        <w:pStyle w:val="Lijstalinea"/>
        <w:numPr>
          <w:ilvl w:val="0"/>
          <w:numId w:val="1"/>
        </w:numPr>
      </w:pPr>
      <w:r>
        <w:t>Bij weigering van (een van) beide kan de opdracht niet worden aangegaan</w:t>
      </w:r>
    </w:p>
    <w:p w14:paraId="78A04CCA" w14:textId="77777777" w:rsidR="00EF472F" w:rsidRDefault="00EF472F" w:rsidP="00EF472F">
      <w:pPr>
        <w:pStyle w:val="Lijstalinea"/>
        <w:numPr>
          <w:ilvl w:val="0"/>
          <w:numId w:val="1"/>
        </w:numPr>
      </w:pPr>
      <w:r>
        <w:t>Actief en op gelijke wijze informeren over de uitvoering</w:t>
      </w:r>
    </w:p>
    <w:p w14:paraId="38AED227" w14:textId="77777777" w:rsidR="00EF472F" w:rsidRDefault="00EF472F" w:rsidP="00EF472F">
      <w:pPr>
        <w:pStyle w:val="Lijstalinea"/>
        <w:numPr>
          <w:ilvl w:val="0"/>
          <w:numId w:val="1"/>
        </w:numPr>
      </w:pPr>
      <w:r>
        <w:t>Gelijke rechten ten aanzien van inzage in dossier en rapportages</w:t>
      </w:r>
    </w:p>
    <w:p w14:paraId="25C0E3E2" w14:textId="77777777" w:rsidR="00EF472F" w:rsidRDefault="00EF472F" w:rsidP="00EF472F"/>
    <w:p w14:paraId="73F3140A" w14:textId="77777777" w:rsidR="00EF472F" w:rsidRDefault="00EF472F" w:rsidP="00EF472F">
      <w:r>
        <w:t xml:space="preserve">Een ouder geeft toestemming, de andere niet: dit geldt als een weigering. De opdracht kan niet worden aangegaan. </w:t>
      </w:r>
    </w:p>
    <w:p w14:paraId="4F54B3A6" w14:textId="77777777" w:rsidR="00EF472F" w:rsidRDefault="00EF472F" w:rsidP="00EF472F"/>
    <w:p w14:paraId="7F7CD66B" w14:textId="77777777" w:rsidR="00EF472F" w:rsidRPr="006C04E2" w:rsidRDefault="00EF472F" w:rsidP="00EF472F">
      <w:pPr>
        <w:rPr>
          <w:u w:val="single"/>
        </w:rPr>
      </w:pPr>
      <w:r w:rsidRPr="006C04E2">
        <w:rPr>
          <w:u w:val="single"/>
        </w:rPr>
        <w:t xml:space="preserve">Ouder zonder gezag </w:t>
      </w:r>
    </w:p>
    <w:p w14:paraId="733AD562" w14:textId="77777777" w:rsidR="00EF472F" w:rsidRDefault="00EF472F" w:rsidP="00EF472F">
      <w:r>
        <w:t>Informeren op zijn/haar verzoek over:</w:t>
      </w:r>
    </w:p>
    <w:p w14:paraId="3318FD06" w14:textId="77777777" w:rsidR="00EF472F" w:rsidRDefault="00EF472F" w:rsidP="00EF472F">
      <w:pPr>
        <w:pStyle w:val="Lijstalinea"/>
        <w:numPr>
          <w:ilvl w:val="0"/>
          <w:numId w:val="1"/>
        </w:numPr>
      </w:pPr>
      <w:r>
        <w:t>Wanneer de hulp begon</w:t>
      </w:r>
    </w:p>
    <w:p w14:paraId="60AFA2B9" w14:textId="77777777" w:rsidR="00EF472F" w:rsidRDefault="00EF472F" w:rsidP="00EF472F">
      <w:pPr>
        <w:pStyle w:val="Lijstalinea"/>
        <w:numPr>
          <w:ilvl w:val="0"/>
          <w:numId w:val="1"/>
        </w:numPr>
      </w:pPr>
      <w:r>
        <w:t>Of deze al is afgesloten</w:t>
      </w:r>
    </w:p>
    <w:p w14:paraId="4D02815A" w14:textId="77777777" w:rsidR="00EF472F" w:rsidRDefault="00EF472F" w:rsidP="00EF472F">
      <w:pPr>
        <w:pStyle w:val="Lijstalinea"/>
        <w:numPr>
          <w:ilvl w:val="0"/>
          <w:numId w:val="1"/>
        </w:numPr>
      </w:pPr>
      <w:r>
        <w:t>De doelstelling van de hulp en</w:t>
      </w:r>
    </w:p>
    <w:p w14:paraId="742933FB" w14:textId="77777777" w:rsidR="00EF472F" w:rsidRDefault="00EF472F" w:rsidP="00EF472F">
      <w:pPr>
        <w:pStyle w:val="Lijstalinea"/>
        <w:numPr>
          <w:ilvl w:val="0"/>
          <w:numId w:val="1"/>
        </w:numPr>
      </w:pPr>
      <w:r>
        <w:t>De resultaten daarvan</w:t>
      </w:r>
    </w:p>
    <w:p w14:paraId="6BBC1FAA" w14:textId="77777777" w:rsidR="00EF472F" w:rsidRDefault="00EF472F" w:rsidP="00EF472F">
      <w:r>
        <w:t xml:space="preserve">De gezaghebbende ouder hoeft hiervoor geen toestemming te verlenen. </w:t>
      </w:r>
    </w:p>
    <w:p w14:paraId="2B17A3C9" w14:textId="77777777" w:rsidR="00EF472F" w:rsidRDefault="00EF472F" w:rsidP="00EF472F"/>
    <w:p w14:paraId="44F32691" w14:textId="77777777" w:rsidR="00EF472F" w:rsidRDefault="00EF472F" w:rsidP="00EF472F">
      <w:r>
        <w:t xml:space="preserve">De niet-gezaghebbende ouder heeft </w:t>
      </w:r>
      <w:r w:rsidRPr="00EF472F">
        <w:rPr>
          <w:u w:val="single"/>
        </w:rPr>
        <w:t>geen</w:t>
      </w:r>
      <w:r>
        <w:t xml:space="preserve"> recht op inzage in het dossier</w:t>
      </w:r>
      <w:r w:rsidR="006C04E2">
        <w:t xml:space="preserve">, maar heeft wel recht op informatie over bovenstaande punten. Als blijkt dat het verstrekken van deze informatie nadelige gevolgen heeft, dan mag het verstrekken worden geweigerd. </w:t>
      </w:r>
    </w:p>
    <w:p w14:paraId="3F1B6CA1" w14:textId="77777777" w:rsidR="00EF472F" w:rsidRDefault="00EF472F" w:rsidP="00EF472F"/>
    <w:p w14:paraId="1A23422B" w14:textId="77777777" w:rsidR="005C3E00" w:rsidRPr="005C3E00" w:rsidRDefault="005C3E00" w:rsidP="00EF472F">
      <w:pPr>
        <w:rPr>
          <w:b/>
        </w:rPr>
      </w:pPr>
      <w:r w:rsidRPr="005C3E00">
        <w:rPr>
          <w:b/>
        </w:rPr>
        <w:t>12 tot 16 jaar</w:t>
      </w:r>
    </w:p>
    <w:p w14:paraId="55AE31C1" w14:textId="77777777" w:rsidR="005C3E00" w:rsidRDefault="005C3E00" w:rsidP="00EF472F">
      <w:r>
        <w:t>Weigert een van de gezaghebbende ouders hulp aan de jongere boven 12 jaar, terwijl de jongere de hulp ‘weloverwogen’ wenselijk blijft vinden, dan kan toch hulp geboden worden</w:t>
      </w:r>
      <w:r w:rsidR="002C7A1D">
        <w:t xml:space="preserve">. Weigert de jongere, dan kan dat niet. </w:t>
      </w:r>
    </w:p>
    <w:p w14:paraId="16B7938E" w14:textId="77777777" w:rsidR="00EF472F" w:rsidRDefault="00EF472F" w:rsidP="00EF472F"/>
    <w:p w14:paraId="1BA46B48" w14:textId="77777777" w:rsidR="00EF472F" w:rsidRDefault="00C87605" w:rsidP="00EF472F">
      <w:r>
        <w:t>‘Weloverwogen’ houdt in dat:</w:t>
      </w:r>
    </w:p>
    <w:p w14:paraId="0DB46195" w14:textId="77777777" w:rsidR="00C87605" w:rsidRDefault="00C87605" w:rsidP="00C87605">
      <w:pPr>
        <w:pStyle w:val="Lijstalinea"/>
        <w:numPr>
          <w:ilvl w:val="0"/>
          <w:numId w:val="1"/>
        </w:numPr>
      </w:pPr>
      <w:r>
        <w:t>De professional de jongere goed informeert over de gevolgen van het wel/niet krijgen van hulp</w:t>
      </w:r>
    </w:p>
    <w:p w14:paraId="5C103BFD" w14:textId="77777777" w:rsidR="00C87605" w:rsidRDefault="00C87605" w:rsidP="00C87605">
      <w:pPr>
        <w:pStyle w:val="Lijstalinea"/>
        <w:numPr>
          <w:ilvl w:val="0"/>
          <w:numId w:val="1"/>
        </w:numPr>
      </w:pPr>
      <w:r>
        <w:t>De professional de jongere goed informeert over wat het voor de jongere betekent als hij hulp krijgt die zijn ouders niet wensen</w:t>
      </w:r>
    </w:p>
    <w:p w14:paraId="75DA2EDA" w14:textId="77777777" w:rsidR="00C87605" w:rsidRDefault="00C87605" w:rsidP="00C87605">
      <w:r>
        <w:t>De professional schat in of de jongere in staat is om:</w:t>
      </w:r>
    </w:p>
    <w:p w14:paraId="4E444825" w14:textId="77777777" w:rsidR="00C87605" w:rsidRDefault="00C87605" w:rsidP="00C87605">
      <w:pPr>
        <w:pStyle w:val="Lijstalinea"/>
        <w:numPr>
          <w:ilvl w:val="0"/>
          <w:numId w:val="1"/>
        </w:numPr>
      </w:pPr>
      <w:r>
        <w:t>De informatie die hij krijgt te begrijpen</w:t>
      </w:r>
    </w:p>
    <w:p w14:paraId="2C90A376" w14:textId="77777777" w:rsidR="00C87605" w:rsidRDefault="00C87605" w:rsidP="00C87605">
      <w:pPr>
        <w:pStyle w:val="Lijstalinea"/>
        <w:numPr>
          <w:ilvl w:val="0"/>
          <w:numId w:val="1"/>
        </w:numPr>
      </w:pPr>
      <w:r>
        <w:t>Op basis daarvan een beslissing neemt</w:t>
      </w:r>
    </w:p>
    <w:p w14:paraId="43DBAE8C" w14:textId="77777777" w:rsidR="00C87605" w:rsidRDefault="00C87605" w:rsidP="00C87605">
      <w:pPr>
        <w:pStyle w:val="Lijstalinea"/>
        <w:numPr>
          <w:ilvl w:val="0"/>
          <w:numId w:val="1"/>
        </w:numPr>
      </w:pPr>
      <w:r>
        <w:t>De gevolgen daarvan kan overzien, en</w:t>
      </w:r>
    </w:p>
    <w:p w14:paraId="5DC4120A" w14:textId="77777777" w:rsidR="00C87605" w:rsidRDefault="00C87605" w:rsidP="00C87605">
      <w:pPr>
        <w:pStyle w:val="Lijstalinea"/>
        <w:numPr>
          <w:ilvl w:val="0"/>
          <w:numId w:val="1"/>
        </w:numPr>
      </w:pPr>
      <w:r>
        <w:t>Of het kind in zijn beslissing mee kan nemen wat het betekent dat hij met de hulp tegen de wens van zijn gezaghebbende ouder(s) in gaat</w:t>
      </w:r>
    </w:p>
    <w:p w14:paraId="45F4FA06" w14:textId="77777777" w:rsidR="00C87605" w:rsidRDefault="00C87605" w:rsidP="00C87605"/>
    <w:p w14:paraId="6228A3B3" w14:textId="77777777" w:rsidR="00C87605" w:rsidRDefault="00C87605" w:rsidP="00C87605">
      <w:r>
        <w:t>De professional heeft alles gedaan wat redelijkerwijs mogelijk is om van beide ouders toestemming te krijgen en heeft dit vastgelegd in het dossier.</w:t>
      </w:r>
    </w:p>
    <w:p w14:paraId="4C1CFCF8" w14:textId="77777777" w:rsidR="00C87605" w:rsidRDefault="00C87605" w:rsidP="00C87605"/>
    <w:p w14:paraId="0F218200" w14:textId="77777777" w:rsidR="00C87605" w:rsidRDefault="00C87605" w:rsidP="00C87605">
      <w:r>
        <w:t>Vervangende toestemming</w:t>
      </w:r>
    </w:p>
    <w:p w14:paraId="1384ED8E" w14:textId="77777777" w:rsidR="00C87605" w:rsidRDefault="00C87605" w:rsidP="00C87605">
      <w:r>
        <w:t xml:space="preserve">De gezaghebbende ouder die wel toestemming geeft, kan de rechter verzoeken om vervangende toestemming als de andere gezaghebbende ouder geen toestemming geeft en/of het gezag niet uitoefent. Deze </w:t>
      </w:r>
      <w:r w:rsidR="00661354">
        <w:t>procedure</w:t>
      </w:r>
      <w:r>
        <w:t xml:space="preserve"> duurt maximaal zes weken en kan in gang gezet worden via een advocaat.</w:t>
      </w:r>
    </w:p>
    <w:p w14:paraId="6D9A12DC" w14:textId="77777777" w:rsidR="00EF472F" w:rsidRDefault="00EF472F" w:rsidP="00EF472F"/>
    <w:p w14:paraId="4AD27D8E" w14:textId="77777777" w:rsidR="00661354" w:rsidRPr="00F80A98" w:rsidRDefault="00661354" w:rsidP="00EF472F">
      <w:r>
        <w:rPr>
          <w:rStyle w:val="Eindnootmarkering"/>
        </w:rPr>
        <w:endnoteReference w:id="1"/>
      </w:r>
    </w:p>
    <w:sectPr w:rsidR="00661354" w:rsidRPr="00F80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A6AA1" w14:textId="77777777" w:rsidR="00BD5E55" w:rsidRDefault="00BD5E55" w:rsidP="00661354">
      <w:r>
        <w:separator/>
      </w:r>
    </w:p>
  </w:endnote>
  <w:endnote w:type="continuationSeparator" w:id="0">
    <w:p w14:paraId="19C6AF55" w14:textId="77777777" w:rsidR="00BD5E55" w:rsidRDefault="00BD5E55" w:rsidP="00661354">
      <w:r>
        <w:continuationSeparator/>
      </w:r>
    </w:p>
  </w:endnote>
  <w:endnote w:id="1">
    <w:p w14:paraId="08277F57" w14:textId="77777777" w:rsidR="00661354" w:rsidRDefault="00661354" w:rsidP="00661354">
      <w:pPr>
        <w:pStyle w:val="Eindnoottekst"/>
        <w:rPr>
          <w:i/>
        </w:rPr>
      </w:pPr>
      <w:r>
        <w:rPr>
          <w:rStyle w:val="Eindnootmarkering"/>
        </w:rPr>
        <w:endnoteRef/>
      </w:r>
      <w:r>
        <w:t xml:space="preserve"> </w:t>
      </w:r>
      <w:r w:rsidRPr="00661354">
        <w:rPr>
          <w:i/>
        </w:rPr>
        <w:t xml:space="preserve">Van Montfoort – Juridisch informatiesheet </w:t>
      </w:r>
      <w:r>
        <w:rPr>
          <w:i/>
        </w:rPr>
        <w:t>‘</w:t>
      </w:r>
      <w:r w:rsidRPr="00661354">
        <w:rPr>
          <w:i/>
        </w:rPr>
        <w:t>Toestemmingsvereiste bij het bieden van zorg, hulp, begeleiding en ondersteuning aan cliënten</w:t>
      </w:r>
      <w:r>
        <w:rPr>
          <w:i/>
        </w:rPr>
        <w:t>’</w:t>
      </w:r>
    </w:p>
    <w:p w14:paraId="6E4CDC68" w14:textId="77777777" w:rsidR="00C255CD" w:rsidRPr="00661354" w:rsidRDefault="00C255CD" w:rsidP="00661354">
      <w:pPr>
        <w:pStyle w:val="Eindnoottekst"/>
        <w:rPr>
          <w:i/>
        </w:rPr>
      </w:pPr>
      <w:r>
        <w:rPr>
          <w:i/>
        </w:rPr>
        <w:t xml:space="preserve">NJI – Handreiking gegevensuitwisseling voor scholen die samenwerken met externe partners </w:t>
      </w:r>
      <w:r w:rsidR="005D5634">
        <w:rPr>
          <w:i/>
        </w:rPr>
        <w:t>–</w:t>
      </w:r>
      <w:r>
        <w:rPr>
          <w:i/>
        </w:rPr>
        <w:t xml:space="preserve"> 2019</w:t>
      </w:r>
      <w:r w:rsidR="005D5634">
        <w:rPr>
          <w:i/>
        </w:rPr>
        <w:t xml:space="preserve"> </w:t>
      </w:r>
      <w:hyperlink r:id="rId1" w:history="1">
        <w:r w:rsidR="005D5634" w:rsidRPr="005D5634">
          <w:rPr>
            <w:rStyle w:val="Hyperlink"/>
            <w:i/>
          </w:rPr>
          <w:t>[link]</w:t>
        </w:r>
      </w:hyperlink>
    </w:p>
    <w:p w14:paraId="15B07DA4" w14:textId="77777777" w:rsidR="00661354" w:rsidRDefault="00661354">
      <w:pPr>
        <w:pStyle w:val="Eindnoo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803BD" w14:textId="77777777" w:rsidR="00BD5E55" w:rsidRDefault="00BD5E55" w:rsidP="00661354">
      <w:r>
        <w:separator/>
      </w:r>
    </w:p>
  </w:footnote>
  <w:footnote w:type="continuationSeparator" w:id="0">
    <w:p w14:paraId="6BEEEE81" w14:textId="77777777" w:rsidR="00BD5E55" w:rsidRDefault="00BD5E55" w:rsidP="00661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33A85"/>
    <w:multiLevelType w:val="hybridMultilevel"/>
    <w:tmpl w:val="9830EBE0"/>
    <w:lvl w:ilvl="0" w:tplc="45EE4F74">
      <w:start w:val="6"/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D0B6C"/>
    <w:multiLevelType w:val="hybridMultilevel"/>
    <w:tmpl w:val="E81C294C"/>
    <w:lvl w:ilvl="0" w:tplc="828A62A0">
      <w:start w:val="6"/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  <w:i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26B0D"/>
    <w:multiLevelType w:val="hybridMultilevel"/>
    <w:tmpl w:val="FACC115E"/>
    <w:lvl w:ilvl="0" w:tplc="11962BE2">
      <w:start w:val="6"/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43803"/>
    <w:multiLevelType w:val="hybridMultilevel"/>
    <w:tmpl w:val="74D47058"/>
    <w:lvl w:ilvl="0" w:tplc="E93EA2F0">
      <w:start w:val="1"/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2F"/>
    <w:rsid w:val="000817A8"/>
    <w:rsid w:val="001B370F"/>
    <w:rsid w:val="001D4DD5"/>
    <w:rsid w:val="002C7A1D"/>
    <w:rsid w:val="00330A13"/>
    <w:rsid w:val="003A02F6"/>
    <w:rsid w:val="003C1696"/>
    <w:rsid w:val="00415438"/>
    <w:rsid w:val="00420B4A"/>
    <w:rsid w:val="00521FCA"/>
    <w:rsid w:val="005B5456"/>
    <w:rsid w:val="005C3E00"/>
    <w:rsid w:val="005D5634"/>
    <w:rsid w:val="00661354"/>
    <w:rsid w:val="006C04E2"/>
    <w:rsid w:val="007B775D"/>
    <w:rsid w:val="007F0349"/>
    <w:rsid w:val="008918B8"/>
    <w:rsid w:val="008C77A0"/>
    <w:rsid w:val="00972E75"/>
    <w:rsid w:val="00995062"/>
    <w:rsid w:val="00A24358"/>
    <w:rsid w:val="00AB762A"/>
    <w:rsid w:val="00BD5E55"/>
    <w:rsid w:val="00BD6488"/>
    <w:rsid w:val="00C255CD"/>
    <w:rsid w:val="00C31970"/>
    <w:rsid w:val="00C66D4A"/>
    <w:rsid w:val="00C87605"/>
    <w:rsid w:val="00DB6BA3"/>
    <w:rsid w:val="00E07456"/>
    <w:rsid w:val="00E501FC"/>
    <w:rsid w:val="00EF472F"/>
    <w:rsid w:val="00F32BBE"/>
    <w:rsid w:val="00F36DE8"/>
    <w:rsid w:val="00F80A98"/>
    <w:rsid w:val="00FE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6916"/>
  <w15:chartTrackingRefBased/>
  <w15:docId w15:val="{77AC6EE4-75D8-48EE-AAC7-CF28FEA2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bel" w:eastAsia="Calibri" w:hAnsi="Corbel" w:cs="Times New Roman"/>
        <w:sz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Times Std"/>
    <w:qFormat/>
    <w:rsid w:val="003C1696"/>
  </w:style>
  <w:style w:type="paragraph" w:styleId="Kop1">
    <w:name w:val="heading 1"/>
    <w:basedOn w:val="Standaard"/>
    <w:next w:val="Standaard"/>
    <w:link w:val="Kop1Char"/>
    <w:uiPriority w:val="9"/>
    <w:rsid w:val="00F32BB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F32BBE"/>
    <w:pPr>
      <w:keepNext/>
      <w:spacing w:before="240" w:after="60"/>
      <w:outlineLvl w:val="1"/>
    </w:pPr>
    <w:rPr>
      <w:rFonts w:ascii="Arial" w:eastAsia="Times New Roman" w:hAnsi="Arial"/>
      <w:b/>
      <w:bCs/>
      <w:iCs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F32BBE"/>
    <w:pPr>
      <w:keepNext/>
      <w:spacing w:before="240" w:after="60"/>
      <w:outlineLvl w:val="2"/>
    </w:pPr>
    <w:rPr>
      <w:rFonts w:ascii="Arial" w:eastAsia="Times New Roman" w:hAnsi="Arial"/>
      <w:b/>
      <w:bCs/>
      <w:sz w:val="20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F32BBE"/>
    <w:pPr>
      <w:outlineLvl w:val="3"/>
    </w:pPr>
    <w:rPr>
      <w:rFonts w:ascii="Arial" w:eastAsiaTheme="minorEastAsia" w:hAnsi="Arial" w:cstheme="minorBidi"/>
      <w:bCs/>
      <w:sz w:val="20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F32BBE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Kop3Char">
    <w:name w:val="Kop 3 Char"/>
    <w:link w:val="Kop3"/>
    <w:uiPriority w:val="9"/>
    <w:rsid w:val="00F32BBE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Kop2Char">
    <w:name w:val="Kop 2 Char"/>
    <w:link w:val="Kop2"/>
    <w:uiPriority w:val="9"/>
    <w:rsid w:val="00F32BBE"/>
    <w:rPr>
      <w:rFonts w:ascii="Arial" w:eastAsia="Times New Roman" w:hAnsi="Arial" w:cs="Times New Roman"/>
      <w:b/>
      <w:bCs/>
      <w:iCs/>
      <w:szCs w:val="28"/>
    </w:rPr>
  </w:style>
  <w:style w:type="character" w:customStyle="1" w:styleId="Kop4Char">
    <w:name w:val="Kop 4 Char"/>
    <w:basedOn w:val="Standaardalinea-lettertype"/>
    <w:link w:val="Kop4"/>
    <w:uiPriority w:val="9"/>
    <w:rsid w:val="00F32BBE"/>
    <w:rPr>
      <w:rFonts w:ascii="Arial" w:eastAsiaTheme="minorEastAsia" w:hAnsi="Arial" w:cstheme="minorBidi"/>
      <w:bCs/>
      <w:sz w:val="20"/>
      <w:szCs w:val="28"/>
    </w:rPr>
  </w:style>
  <w:style w:type="paragraph" w:customStyle="1" w:styleId="ArialKop1">
    <w:name w:val="Arial Kop 1"/>
    <w:basedOn w:val="Kop1"/>
    <w:link w:val="ArialKop1Char"/>
    <w:qFormat/>
    <w:rsid w:val="00DB6BA3"/>
  </w:style>
  <w:style w:type="character" w:customStyle="1" w:styleId="ArialKop1Char">
    <w:name w:val="Arial Kop 1 Char"/>
    <w:basedOn w:val="Kop1Char"/>
    <w:link w:val="ArialKop1"/>
    <w:rsid w:val="00DB6BA3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customStyle="1" w:styleId="ArialKop2">
    <w:name w:val="Arial Kop 2"/>
    <w:basedOn w:val="Kop2"/>
    <w:link w:val="ArialKop2Char"/>
    <w:qFormat/>
    <w:rsid w:val="00DB6BA3"/>
  </w:style>
  <w:style w:type="character" w:customStyle="1" w:styleId="ArialKop2Char">
    <w:name w:val="Arial Kop 2 Char"/>
    <w:link w:val="ArialKop2"/>
    <w:rsid w:val="00DB6BA3"/>
    <w:rPr>
      <w:rFonts w:ascii="Arial" w:eastAsia="Times New Roman" w:hAnsi="Arial" w:cs="Times New Roman"/>
      <w:b/>
      <w:bCs/>
      <w:iCs/>
      <w:szCs w:val="28"/>
    </w:rPr>
  </w:style>
  <w:style w:type="paragraph" w:customStyle="1" w:styleId="ArialKop3">
    <w:name w:val="Arial Kop 3"/>
    <w:basedOn w:val="Kop3"/>
    <w:link w:val="ArialKop3Char"/>
    <w:qFormat/>
    <w:rsid w:val="00DB6BA3"/>
  </w:style>
  <w:style w:type="character" w:customStyle="1" w:styleId="ArialKop3Char">
    <w:name w:val="Arial Kop 3 Char"/>
    <w:link w:val="ArialKop3"/>
    <w:rsid w:val="00DB6BA3"/>
    <w:rPr>
      <w:rFonts w:ascii="Arial" w:eastAsia="Times New Roman" w:hAnsi="Arial" w:cs="Times New Roman"/>
      <w:b/>
      <w:bCs/>
      <w:sz w:val="20"/>
      <w:szCs w:val="26"/>
    </w:rPr>
  </w:style>
  <w:style w:type="paragraph" w:customStyle="1" w:styleId="TimesKop1">
    <w:name w:val="Times Kop 1"/>
    <w:basedOn w:val="Kop1"/>
    <w:link w:val="TimesKop1Char"/>
    <w:qFormat/>
    <w:rsid w:val="00972E75"/>
  </w:style>
  <w:style w:type="character" w:customStyle="1" w:styleId="TimesKop1Char">
    <w:name w:val="Times Kop 1 Char"/>
    <w:basedOn w:val="Kop1Char"/>
    <w:link w:val="TimesKop1"/>
    <w:rsid w:val="00972E75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customStyle="1" w:styleId="TimesKop2">
    <w:name w:val="Times Kop 2"/>
    <w:basedOn w:val="Kop2"/>
    <w:link w:val="TimesKop2Char"/>
    <w:qFormat/>
    <w:rsid w:val="00DB6BA3"/>
    <w:rPr>
      <w:rFonts w:ascii="Times New Roman" w:hAnsi="Times New Roman"/>
    </w:rPr>
  </w:style>
  <w:style w:type="character" w:customStyle="1" w:styleId="TimesKop2Char">
    <w:name w:val="Times Kop 2 Char"/>
    <w:link w:val="TimesKop2"/>
    <w:rsid w:val="00DB6BA3"/>
    <w:rPr>
      <w:rFonts w:eastAsia="Times New Roman" w:cs="Times New Roman"/>
      <w:b/>
      <w:bCs/>
      <w:iCs/>
      <w:szCs w:val="28"/>
    </w:rPr>
  </w:style>
  <w:style w:type="paragraph" w:customStyle="1" w:styleId="ArialStd">
    <w:name w:val="Arial Std"/>
    <w:basedOn w:val="Standaard"/>
    <w:link w:val="ArialStdChar"/>
    <w:qFormat/>
    <w:rsid w:val="003C1696"/>
    <w:rPr>
      <w:rFonts w:ascii="Arial" w:hAnsi="Arial"/>
    </w:rPr>
  </w:style>
  <w:style w:type="character" w:customStyle="1" w:styleId="ArialStdChar">
    <w:name w:val="Arial Std Char"/>
    <w:basedOn w:val="Standaardalinea-lettertype"/>
    <w:link w:val="ArialStd"/>
    <w:rsid w:val="003C1696"/>
    <w:rPr>
      <w:rFonts w:ascii="Arial" w:hAnsi="Arial"/>
    </w:rPr>
  </w:style>
  <w:style w:type="paragraph" w:styleId="Lijstalinea">
    <w:name w:val="List Paragraph"/>
    <w:basedOn w:val="Standaard"/>
    <w:uiPriority w:val="34"/>
    <w:rsid w:val="00EF472F"/>
    <w:pPr>
      <w:ind w:left="720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61354"/>
    <w:rPr>
      <w:sz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61354"/>
    <w:rPr>
      <w:sz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661354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D563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D5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ji.nl/nl/Download-NJi/Publicatie-NJi/Handreiking-gegevensuitwisseling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Buurman</dc:creator>
  <cp:keywords/>
  <dc:description/>
  <cp:lastModifiedBy>Martine Buurman</cp:lastModifiedBy>
  <cp:revision>2</cp:revision>
  <dcterms:created xsi:type="dcterms:W3CDTF">2020-05-19T09:59:00Z</dcterms:created>
  <dcterms:modified xsi:type="dcterms:W3CDTF">2020-05-19T09:59:00Z</dcterms:modified>
</cp:coreProperties>
</file>