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D5710" w14:textId="77777777" w:rsidR="004013C6" w:rsidRPr="004013C6" w:rsidRDefault="00497162" w:rsidP="004013C6">
      <w:pPr>
        <w:rPr>
          <w:b/>
          <w:sz w:val="24"/>
        </w:rPr>
      </w:pPr>
      <w:r>
        <w:rPr>
          <w:b/>
          <w:sz w:val="24"/>
        </w:rPr>
        <w:t>Grenzen passend o</w:t>
      </w:r>
      <w:r w:rsidR="004013C6" w:rsidRPr="004013C6">
        <w:rPr>
          <w:b/>
          <w:sz w:val="24"/>
        </w:rPr>
        <w:t>nderwijs en jeugdhulp</w:t>
      </w:r>
    </w:p>
    <w:p w14:paraId="559200A4" w14:textId="77777777" w:rsidR="004013C6" w:rsidRDefault="004013C6" w:rsidP="004013C6"/>
    <w:p w14:paraId="5D2F744F" w14:textId="77777777" w:rsidR="004013C6" w:rsidRPr="004013C6" w:rsidRDefault="004013C6" w:rsidP="004013C6">
      <w:pPr>
        <w:rPr>
          <w:b/>
        </w:rPr>
      </w:pPr>
    </w:p>
    <w:p w14:paraId="008DE7A6" w14:textId="77777777" w:rsidR="004013C6" w:rsidRPr="004013C6" w:rsidRDefault="004013C6" w:rsidP="004013C6">
      <w:pPr>
        <w:rPr>
          <w:b/>
          <w:bCs/>
        </w:rPr>
      </w:pPr>
      <w:r w:rsidRPr="004013C6">
        <w:rPr>
          <w:b/>
          <w:bCs/>
        </w:rPr>
        <w:t>Passend onderwijs</w:t>
      </w:r>
    </w:p>
    <w:p w14:paraId="5EFC82D3" w14:textId="77777777" w:rsidR="004013C6" w:rsidRPr="004013C6" w:rsidRDefault="004013C6" w:rsidP="004013C6">
      <w:r w:rsidRPr="004013C6">
        <w:t>Met de komst van </w:t>
      </w:r>
      <w:hyperlink r:id="rId9" w:tooltip="Wat is passend onderwijs?" w:history="1">
        <w:r w:rsidRPr="004013C6">
          <w:rPr>
            <w:rStyle w:val="Hyperlink"/>
          </w:rPr>
          <w:t>passend o</w:t>
        </w:r>
        <w:r w:rsidRPr="004013C6">
          <w:rPr>
            <w:rStyle w:val="Hyperlink"/>
          </w:rPr>
          <w:t>n</w:t>
        </w:r>
        <w:r w:rsidRPr="004013C6">
          <w:rPr>
            <w:rStyle w:val="Hyperlink"/>
          </w:rPr>
          <w:t>derwijs</w:t>
        </w:r>
      </w:hyperlink>
      <w:r w:rsidRPr="004013C6">
        <w:t> zijn scholen zelf verantwoordelijk voor de ondersteuning die te maken heeft met onderwijs, met het leren zelf. Daarbij gaat het bijvoorbeeld om ondersteuning voor leerlingen die moeilijk leren, of juist hoogbegaafd zijn. Ook gaat het om kinderen die vanwege bijvoorbeeld een ontwikkelingsstoornis lastiger leren in de klas. Scholen organiseren deze ondersteuning zelf als het makkelijk in te passen is. Dit heet de basisondersteuning. Voor extra ondersteuning, werken de scholen samen in een </w:t>
      </w:r>
      <w:hyperlink r:id="rId10" w:tooltip="Wat is een samenwerkingsverband passend onderwijs?" w:history="1">
        <w:r w:rsidRPr="004013C6">
          <w:rPr>
            <w:rStyle w:val="Hyperlink"/>
          </w:rPr>
          <w:t>samenwerkingsverband</w:t>
        </w:r>
      </w:hyperlink>
      <w:r w:rsidRPr="004013C6">
        <w:t> passend onderwijs. Ambulante begeleiding, aangepast lesmateriaal, extra ondersteuning in de klas, speciaal onderwijs: het valt onder passend onderwijs.</w:t>
      </w:r>
    </w:p>
    <w:p w14:paraId="1833C959" w14:textId="77777777" w:rsidR="004013C6" w:rsidRDefault="004013C6" w:rsidP="004013C6"/>
    <w:p w14:paraId="15C02178" w14:textId="77777777" w:rsidR="004013C6" w:rsidRPr="004013C6" w:rsidRDefault="004013C6" w:rsidP="004013C6">
      <w:r w:rsidRPr="004013C6">
        <w:t xml:space="preserve">Wanneer een kind </w:t>
      </w:r>
      <w:r w:rsidR="00EE35A4">
        <w:t xml:space="preserve">een </w:t>
      </w:r>
      <w:r w:rsidRPr="004013C6">
        <w:t>extra ondersteuningsbehoefte heeft (bijvoorbeeld vanwe</w:t>
      </w:r>
      <w:r w:rsidR="00EE35A4">
        <w:t xml:space="preserve">ge een </w:t>
      </w:r>
      <w:r w:rsidR="00EE35A4" w:rsidRPr="00EE35A4">
        <w:t>beperking, leerprobleem, gedragsprobleem of ziekte</w:t>
      </w:r>
      <w:r w:rsidRPr="004013C6">
        <w:t>)  is het onderwijs verplicht om een ontwikkel</w:t>
      </w:r>
      <w:r w:rsidR="00EE35A4">
        <w:t>ings</w:t>
      </w:r>
      <w:r w:rsidRPr="004013C6">
        <w:t>perspectief</w:t>
      </w:r>
      <w:r w:rsidR="00EE35A4">
        <w:t>plan</w:t>
      </w:r>
      <w:r w:rsidRPr="004013C6">
        <w:t xml:space="preserve"> (OPP) op te stellen (voorheen heette dit handelingsplan). Dit is in feite een soort plan van het onderwijs.  Hierin spreek je af wat het ontwikkel</w:t>
      </w:r>
      <w:r w:rsidR="00EE35A4">
        <w:t>ings</w:t>
      </w:r>
      <w:r w:rsidRPr="004013C6">
        <w:t xml:space="preserve">perspectief is en wat er vanuit het onderwijs wordt gedaan om dit te bereiken. Dit moet met ouders en kind worden opgesteld. Hier kan een CM ook naar vragen. Dus wat is er afgesproken in het OPP, wat doet de school om het kind te begeleiden zodat de ontwikkelingsdoelen worden bereikt.  Hier hoort ook bij: treffen van maatregelen zodat een druk kind rustig kan werken of extra uren inzetten om een kind of groepje kinderen apart te laten werken etc. Of begeleiding bij plannen van het werk op school etc. </w:t>
      </w:r>
    </w:p>
    <w:p w14:paraId="06D0ACAC" w14:textId="77777777" w:rsidR="004013C6" w:rsidRDefault="004013C6" w:rsidP="004013C6"/>
    <w:p w14:paraId="0E7CFF2E" w14:textId="77777777" w:rsidR="004013C6" w:rsidRDefault="004013C6" w:rsidP="004013C6">
      <w:r>
        <w:rPr>
          <w:b/>
        </w:rPr>
        <w:t>Jeugdwet</w:t>
      </w:r>
    </w:p>
    <w:p w14:paraId="6C564021" w14:textId="77777777" w:rsidR="004013C6" w:rsidRPr="004013C6" w:rsidRDefault="004013C6" w:rsidP="004013C6">
      <w:r w:rsidRPr="004013C6">
        <w:t>Onder de nieuwe </w:t>
      </w:r>
      <w:hyperlink r:id="rId11" w:tooltip="Nieuwe Jeugdwet in 2015" w:history="1">
        <w:r w:rsidRPr="004013C6">
          <w:rPr>
            <w:rStyle w:val="Hyperlink"/>
          </w:rPr>
          <w:t>Jeugdwet </w:t>
        </w:r>
      </w:hyperlink>
      <w:r w:rsidRPr="004013C6">
        <w:t>valt ondersteuning die niet direct met onderwijs te maken heeft. De gemeente is verantwoordelijk voor de uitvoering van de Jeugdwet. Voorbeelden van de ondersteuning zijn dagbesteding voor kinderen die niet naar school kunnen, individuele begeleiding voor kinderen met bijvoorbeeld autisme of een verstandelijke beperking. Ook opvoedondersteuning, jeugdbescherming en Geestelijke Gezondheidszorg voor kinderen en jongeren valt onder deze wet.</w:t>
      </w:r>
      <w:r w:rsidRPr="004013C6">
        <w:br/>
        <w:t>Meestal vindt de hulp vanuit de Jeugdwet niet plaats op school. Immers, een leerling zit op school om te leren, en de ondersteuning bij leren valt onder passend onderwijs. Er zijn echter een aantal situaties waarin de gemeente vanuit de Jeugdwet toch verantwoordelijk is voor zorg op school. Als een leerling continu toezicht nodig heeft in de klas om te kunnen functioneren, kan dit onder de Jeugdwet vallen. Ook als een kind persoonlijke verzorging nodig heeft omdat hij bijvoorbeeld incontinent is, is de gemeente hier meestal verantwoordelijk voor.</w:t>
      </w:r>
    </w:p>
    <w:p w14:paraId="43E72993" w14:textId="77777777" w:rsidR="004013C6" w:rsidRPr="004013C6" w:rsidRDefault="004013C6" w:rsidP="004013C6">
      <w:pPr>
        <w:rPr>
          <w:b/>
        </w:rPr>
      </w:pPr>
    </w:p>
    <w:p w14:paraId="1632C259" w14:textId="77777777" w:rsidR="004013C6" w:rsidRPr="004013C6" w:rsidRDefault="004013C6" w:rsidP="004013C6">
      <w:r w:rsidRPr="004013C6">
        <w:t>Op grond van de Jeugdwet is de gemeente alleen verantwoordelijk voor de bekostiging van begeleiding en persoonlijke verzorging op school. Het gaat dan immers om jeugdhulp in verband met opgroei- en opvoedingsproblemen, psychische problemen en stoornissen. Extra (didactische en pedagogische) ondersteuning die nodig is om onderwijsdoelen te bereiken moet door scholen geboden worden.</w:t>
      </w:r>
    </w:p>
    <w:p w14:paraId="345690EC" w14:textId="77777777" w:rsidR="004013C6" w:rsidRPr="004013C6" w:rsidRDefault="004013C6" w:rsidP="004013C6">
      <w:r w:rsidRPr="004013C6">
        <w:t xml:space="preserve">Jeugdhulp: </w:t>
      </w:r>
    </w:p>
    <w:p w14:paraId="7802773C" w14:textId="77777777" w:rsidR="004013C6" w:rsidRPr="004013C6" w:rsidRDefault="004013C6" w:rsidP="004013C6">
      <w:pPr>
        <w:numPr>
          <w:ilvl w:val="0"/>
          <w:numId w:val="8"/>
        </w:numPr>
      </w:pPr>
      <w:r w:rsidRPr="004013C6">
        <w:t xml:space="preserve">Preventie, </w:t>
      </w:r>
      <w:proofErr w:type="spellStart"/>
      <w:r w:rsidRPr="004013C6">
        <w:t>vroegsignalering</w:t>
      </w:r>
      <w:proofErr w:type="spellEnd"/>
      <w:r w:rsidRPr="004013C6">
        <w:t xml:space="preserve"> en </w:t>
      </w:r>
      <w:proofErr w:type="spellStart"/>
      <w:r w:rsidRPr="004013C6">
        <w:t>vroeginterventie</w:t>
      </w:r>
      <w:proofErr w:type="spellEnd"/>
      <w:r w:rsidRPr="004013C6">
        <w:t xml:space="preserve"> van opgroei- en opvoedingsproblemen, psychische problemen en stoornissen.</w:t>
      </w:r>
    </w:p>
    <w:p w14:paraId="11A54045" w14:textId="77777777" w:rsidR="004013C6" w:rsidRPr="004013C6" w:rsidRDefault="004013C6" w:rsidP="004013C6">
      <w:pPr>
        <w:numPr>
          <w:ilvl w:val="0"/>
          <w:numId w:val="8"/>
        </w:numPr>
      </w:pPr>
      <w:r w:rsidRPr="004013C6">
        <w:t>Versterking van het opvoedklimaat in gezinnen, wijken, scholen en kinderopvang.</w:t>
      </w:r>
    </w:p>
    <w:p w14:paraId="0B9F5A21" w14:textId="77777777" w:rsidR="004013C6" w:rsidRPr="004013C6" w:rsidRDefault="004013C6" w:rsidP="004013C6">
      <w:pPr>
        <w:numPr>
          <w:ilvl w:val="0"/>
          <w:numId w:val="8"/>
        </w:numPr>
      </w:pPr>
      <w:r w:rsidRPr="004013C6">
        <w:lastRenderedPageBreak/>
        <w:t>Het treffen van voorzieningen voor jeugdhulp bij problemen met het opgroeien en opvoeden, psychische problemen en stoornissen, zelfredzaamheid en maatschappelijke participatie, zo nodig met extra daarop afgestemde ondersteuning vanuit de school</w:t>
      </w:r>
    </w:p>
    <w:p w14:paraId="7B516D44" w14:textId="77777777" w:rsidR="004013C6" w:rsidRPr="004013C6" w:rsidRDefault="004013C6" w:rsidP="004013C6">
      <w:pPr>
        <w:numPr>
          <w:ilvl w:val="0"/>
          <w:numId w:val="8"/>
        </w:numPr>
      </w:pPr>
      <w:r w:rsidRPr="004013C6">
        <w:t>Het op een laagdrempelige en herkenbare wijze advies geven over, vaststellen en verstrekken van de aangewezen vorm van jeugdhulp.</w:t>
      </w:r>
    </w:p>
    <w:p w14:paraId="7DD9BC44" w14:textId="77777777" w:rsidR="004013C6" w:rsidRPr="004013C6" w:rsidRDefault="004013C6" w:rsidP="004013C6">
      <w:pPr>
        <w:numPr>
          <w:ilvl w:val="0"/>
          <w:numId w:val="8"/>
        </w:numPr>
      </w:pPr>
      <w:r w:rsidRPr="004013C6">
        <w:t>De toegang tot het gedwongen kader en de uitvoering van kinderbeschermingsmaatregelen en jeugdreclassering</w:t>
      </w:r>
    </w:p>
    <w:p w14:paraId="25187291" w14:textId="77777777" w:rsidR="004013C6" w:rsidRPr="004013C6" w:rsidRDefault="004013C6" w:rsidP="004013C6"/>
    <w:p w14:paraId="35EFF3E0" w14:textId="77777777" w:rsidR="004013C6" w:rsidRPr="004013C6" w:rsidRDefault="004013C6" w:rsidP="004013C6">
      <w:pPr>
        <w:rPr>
          <w:b/>
        </w:rPr>
      </w:pPr>
      <w:r w:rsidRPr="004013C6">
        <w:rPr>
          <w:b/>
        </w:rPr>
        <w:t xml:space="preserve">Voorbeelden </w:t>
      </w:r>
    </w:p>
    <w:p w14:paraId="516BB1FD" w14:textId="77777777" w:rsidR="004013C6" w:rsidRPr="004013C6" w:rsidRDefault="004013C6" w:rsidP="004013C6">
      <w:pPr>
        <w:pStyle w:val="Lijstalinea"/>
        <w:numPr>
          <w:ilvl w:val="0"/>
          <w:numId w:val="10"/>
        </w:numPr>
      </w:pPr>
      <w:r w:rsidRPr="004013C6">
        <w:t>Dus huiswerkbegeleiding is bedoeld om onderwijsdoelen te bereiken. Dus niet iets voor de jeugdhulp.</w:t>
      </w:r>
    </w:p>
    <w:p w14:paraId="2B981A0B" w14:textId="77777777" w:rsidR="004013C6" w:rsidRPr="004013C6" w:rsidRDefault="004013C6" w:rsidP="004013C6">
      <w:pPr>
        <w:pStyle w:val="Lijstalinea"/>
        <w:numPr>
          <w:ilvl w:val="0"/>
          <w:numId w:val="10"/>
        </w:numPr>
      </w:pPr>
      <w:r w:rsidRPr="004013C6">
        <w:t>Een jeugdige kon vanwege zijn agressieve gedrag niet meer op zijn school terecht voor onderwijs. De gemeente heeft als noodoplossing een pgb voor thuisonderwijs voor de periode van 4 maanden verstrekt. De rechtbank oordeelt dat in de Jeugdwet geen wettelijke grondslag bestaat voor het inzetten van een onderwijsvoorziening. De gemeente heeft deze voorziening dus onverplicht verstrekt. Op grond van de Jeugdwet is de gemeente alleen verantwoordelijk voor de bekostiging van begeleiding en persoonlijke verzorging op school. Het gaat dan immers om jeugdhulp in verband met opgroei- en opvoedingsproblemen, psychische problemen en stoornissen. Extra (didactische en pedagogische) ondersteuning die nodig is om onderwijsdoelen te bereiken moet door scholen geboden worden.</w:t>
      </w:r>
    </w:p>
    <w:p w14:paraId="052BD764" w14:textId="77777777" w:rsidR="004013C6" w:rsidRDefault="004013C6" w:rsidP="004013C6"/>
    <w:p w14:paraId="7DF2BE10" w14:textId="77777777" w:rsidR="007E7718" w:rsidRPr="007E7718" w:rsidRDefault="007E7718" w:rsidP="004013C6">
      <w:pPr>
        <w:rPr>
          <w:b/>
        </w:rPr>
      </w:pPr>
      <w:r w:rsidRPr="007E7718">
        <w:rPr>
          <w:b/>
        </w:rPr>
        <w:t>J</w:t>
      </w:r>
      <w:r w:rsidR="00E85E18">
        <w:rPr>
          <w:b/>
        </w:rPr>
        <w:t xml:space="preserve">eugd </w:t>
      </w:r>
      <w:r w:rsidRPr="007E7718">
        <w:rPr>
          <w:b/>
        </w:rPr>
        <w:t>G</w:t>
      </w:r>
      <w:r w:rsidR="00E85E18">
        <w:rPr>
          <w:b/>
        </w:rPr>
        <w:t>ezondheidszorg</w:t>
      </w:r>
    </w:p>
    <w:p w14:paraId="6472687E" w14:textId="77777777" w:rsidR="00854FC6" w:rsidRPr="00854FC6" w:rsidRDefault="00854FC6" w:rsidP="004013C6">
      <w:pPr>
        <w:rPr>
          <w:bCs/>
        </w:rPr>
      </w:pPr>
      <w:r w:rsidRPr="00854FC6">
        <w:rPr>
          <w:bCs/>
        </w:rPr>
        <w:t>Basistakenpakket</w:t>
      </w:r>
    </w:p>
    <w:p w14:paraId="141F8D35" w14:textId="77777777" w:rsidR="00854FC6" w:rsidRPr="00854FC6" w:rsidRDefault="00854FC6" w:rsidP="00854FC6">
      <w:pPr>
        <w:pStyle w:val="Lijstalinea"/>
        <w:numPr>
          <w:ilvl w:val="0"/>
          <w:numId w:val="12"/>
        </w:numPr>
        <w:rPr>
          <w:bCs/>
        </w:rPr>
      </w:pPr>
      <w:r w:rsidRPr="00854FC6">
        <w:rPr>
          <w:bCs/>
        </w:rPr>
        <w:t>Systematisch volgen van de lichamelijke, psychosociale en cognitieve ontwikkeling van kinderen en jongeren;</w:t>
      </w:r>
    </w:p>
    <w:p w14:paraId="1978DF28" w14:textId="77777777" w:rsidR="00854FC6" w:rsidRPr="00854FC6" w:rsidRDefault="00854FC6" w:rsidP="00854FC6">
      <w:pPr>
        <w:pStyle w:val="Lijstalinea"/>
        <w:numPr>
          <w:ilvl w:val="0"/>
          <w:numId w:val="12"/>
        </w:numPr>
        <w:rPr>
          <w:bCs/>
        </w:rPr>
      </w:pPr>
      <w:r w:rsidRPr="00854FC6">
        <w:rPr>
          <w:bCs/>
        </w:rPr>
        <w:t>Beoordelen van de ontwikkeling in relatie tot de sociale, pedagogische en fysieke omgeving van de kinderen en jongeren en het gezin waarin ze opgroeien;</w:t>
      </w:r>
    </w:p>
    <w:p w14:paraId="4D15BE26" w14:textId="77777777" w:rsidR="00854FC6" w:rsidRPr="00854FC6" w:rsidRDefault="00854FC6" w:rsidP="00854FC6">
      <w:pPr>
        <w:pStyle w:val="Lijstalinea"/>
        <w:numPr>
          <w:ilvl w:val="0"/>
          <w:numId w:val="12"/>
        </w:numPr>
        <w:rPr>
          <w:bCs/>
        </w:rPr>
      </w:pPr>
      <w:r w:rsidRPr="00854FC6">
        <w:rPr>
          <w:bCs/>
        </w:rPr>
        <w:t>Tijdig signaleren van problemen en vroegtijdig opsporen van specifieke stoornissen;</w:t>
      </w:r>
    </w:p>
    <w:p w14:paraId="562C8F9F" w14:textId="77777777" w:rsidR="00854FC6" w:rsidRPr="00854FC6" w:rsidRDefault="00854FC6" w:rsidP="00854FC6">
      <w:pPr>
        <w:pStyle w:val="Lijstalinea"/>
        <w:numPr>
          <w:ilvl w:val="0"/>
          <w:numId w:val="12"/>
        </w:numPr>
        <w:rPr>
          <w:bCs/>
        </w:rPr>
      </w:pPr>
      <w:r w:rsidRPr="00854FC6">
        <w:rPr>
          <w:bCs/>
        </w:rPr>
        <w:t>Geven van preventieve voorlichting, advies, instructie en begeleiding, individueel of in groepen, gericht op het versterken van de eigen kracht van ouders en jongeren. De onderwerpen waarop de voorlichting en het advies zijn gericht staan beschreven in het besluit (artikel 6). Er zijn onderwerpen toegevoegd zoals overgewicht, kindermishandeling (waaronder vrouwelijke genitale verminking en shaken baby syndroom), internetgebruik en gameverslaving;</w:t>
      </w:r>
    </w:p>
    <w:p w14:paraId="068E9C1C" w14:textId="77777777" w:rsidR="00854FC6" w:rsidRPr="00854FC6" w:rsidRDefault="00854FC6" w:rsidP="00854FC6">
      <w:pPr>
        <w:pStyle w:val="Lijstalinea"/>
        <w:numPr>
          <w:ilvl w:val="0"/>
          <w:numId w:val="12"/>
        </w:numPr>
        <w:rPr>
          <w:bCs/>
        </w:rPr>
      </w:pPr>
      <w:r w:rsidRPr="00854FC6">
        <w:rPr>
          <w:bCs/>
        </w:rPr>
        <w:t>Ontzorgen en normaliseren door het geven van voorlichting</w:t>
      </w:r>
      <w:r w:rsidR="00AF4001">
        <w:rPr>
          <w:bCs/>
        </w:rPr>
        <w:t xml:space="preserve">, </w:t>
      </w:r>
      <w:r w:rsidRPr="00854FC6">
        <w:rPr>
          <w:bCs/>
        </w:rPr>
        <w:t>advies en ondersteuning of door het voeren van enkele gesprekken om ouders en jongeren te ondersteunen en gerust</w:t>
      </w:r>
    </w:p>
    <w:p w14:paraId="28078D61" w14:textId="77777777" w:rsidR="00854FC6" w:rsidRPr="00854FC6" w:rsidRDefault="00854FC6" w:rsidP="00854FC6">
      <w:pPr>
        <w:pStyle w:val="Lijstalinea"/>
        <w:numPr>
          <w:ilvl w:val="0"/>
          <w:numId w:val="12"/>
        </w:numPr>
        <w:rPr>
          <w:bCs/>
        </w:rPr>
      </w:pPr>
      <w:r w:rsidRPr="00854FC6">
        <w:rPr>
          <w:bCs/>
        </w:rPr>
        <w:t>te stellen, indien nodig;</w:t>
      </w:r>
    </w:p>
    <w:p w14:paraId="44C78659" w14:textId="77777777" w:rsidR="00854FC6" w:rsidRPr="00854FC6" w:rsidRDefault="00854FC6" w:rsidP="00854FC6">
      <w:pPr>
        <w:pStyle w:val="Lijstalinea"/>
        <w:numPr>
          <w:ilvl w:val="0"/>
          <w:numId w:val="12"/>
        </w:numPr>
        <w:rPr>
          <w:bCs/>
        </w:rPr>
      </w:pPr>
      <w:r w:rsidRPr="00854FC6">
        <w:rPr>
          <w:bCs/>
        </w:rPr>
        <w:t>beoordelen of extra ondersteuning, hulp of zorg nodig is en direct de juiste zorg of hulp erbij halen;</w:t>
      </w:r>
    </w:p>
    <w:p w14:paraId="3579E271" w14:textId="77777777" w:rsidR="00854FC6" w:rsidRPr="00854FC6" w:rsidRDefault="00854FC6" w:rsidP="00854FC6">
      <w:pPr>
        <w:pStyle w:val="Lijstalinea"/>
        <w:numPr>
          <w:ilvl w:val="0"/>
          <w:numId w:val="12"/>
        </w:numPr>
        <w:rPr>
          <w:bCs/>
        </w:rPr>
      </w:pPr>
      <w:r w:rsidRPr="00854FC6">
        <w:rPr>
          <w:bCs/>
        </w:rPr>
        <w:t>samenwerken met professionals uit onderwijs, voorschoolse voorzieningen, jeugdhulp, verloskundigen, kraamzorg, huisartsen en andere curatieve zorgverleners, buurtteams en andere relevante partijen. Dit is zowel van belang voor het signaleren als voor het kunnen bieden van goede en snelle zorg en ondersteuning.</w:t>
      </w:r>
    </w:p>
    <w:p w14:paraId="1FF0E849" w14:textId="77777777" w:rsidR="007E7718" w:rsidRPr="00854FC6" w:rsidRDefault="00854FC6" w:rsidP="00854FC6">
      <w:pPr>
        <w:pStyle w:val="Lijstalinea"/>
        <w:numPr>
          <w:ilvl w:val="0"/>
          <w:numId w:val="12"/>
        </w:numPr>
        <w:rPr>
          <w:bCs/>
        </w:rPr>
      </w:pPr>
      <w:r w:rsidRPr="00854FC6">
        <w:rPr>
          <w:bCs/>
        </w:rPr>
        <w:t>Adviseren van gemeenten en scholen over collectieve maatregelen/activiteiten op basis van analyse van verkregen gegevens.</w:t>
      </w:r>
    </w:p>
    <w:p w14:paraId="780C0D2F" w14:textId="77777777" w:rsidR="00E85E18" w:rsidRPr="00E85E18" w:rsidRDefault="00E85E18" w:rsidP="00E85E18">
      <w:pPr>
        <w:pStyle w:val="Lijstalinea"/>
        <w:numPr>
          <w:ilvl w:val="0"/>
          <w:numId w:val="12"/>
        </w:numPr>
        <w:rPr>
          <w:bCs/>
        </w:rPr>
      </w:pPr>
      <w:r w:rsidRPr="00E85E18">
        <w:rPr>
          <w:bCs/>
        </w:rPr>
        <w:t>Het contactmoment voor adolescenten is toegevoegd als taak aan het basispakket Jeugdgezondheidszorg. Er is een structureel aanbod beschikbaar voor jongeren vanaf 14 jaar.</w:t>
      </w:r>
      <w:r>
        <w:rPr>
          <w:bCs/>
        </w:rPr>
        <w:t xml:space="preserve"> </w:t>
      </w:r>
      <w:r w:rsidRPr="00E85E18">
        <w:rPr>
          <w:bCs/>
        </w:rPr>
        <w:t xml:space="preserve">Hierbij moeten in elk geval activiteiten beschikbaar zijn, gericht op gezond gewicht, roken, </w:t>
      </w:r>
      <w:r w:rsidRPr="00E85E18">
        <w:rPr>
          <w:bCs/>
        </w:rPr>
        <w:lastRenderedPageBreak/>
        <w:t>gebruik van alcohol en drugs, veilig vrijen, sport en bewegen, internetgebruik en gameverslaving, weerbaarheid, depressie en schoolziekteverzuim;</w:t>
      </w:r>
    </w:p>
    <w:p w14:paraId="0162CE05" w14:textId="77777777" w:rsidR="00E85E18" w:rsidRPr="00E85E18" w:rsidRDefault="00E85E18" w:rsidP="0033777C">
      <w:pPr>
        <w:pStyle w:val="Lijstalinea"/>
        <w:numPr>
          <w:ilvl w:val="0"/>
          <w:numId w:val="12"/>
        </w:numPr>
        <w:rPr>
          <w:b/>
          <w:bCs/>
        </w:rPr>
      </w:pPr>
      <w:r w:rsidRPr="00E85E18">
        <w:rPr>
          <w:bCs/>
        </w:rPr>
        <w:t xml:space="preserve">De leeftijdsgrens van de JGZ wordt gesteld op 0-18 jaar, zodat deze gelijk loopt met die van jeugdhulp. </w:t>
      </w:r>
    </w:p>
    <w:p w14:paraId="468658BA" w14:textId="77777777" w:rsidR="00E85E18" w:rsidRDefault="00E85E18" w:rsidP="00E85E18">
      <w:pPr>
        <w:pStyle w:val="Lijstalinea"/>
        <w:ind w:left="360"/>
        <w:rPr>
          <w:b/>
          <w:bCs/>
        </w:rPr>
      </w:pPr>
    </w:p>
    <w:p w14:paraId="2B06B948" w14:textId="77777777" w:rsidR="004013C6" w:rsidRPr="004013C6" w:rsidRDefault="004013C6" w:rsidP="004013C6">
      <w:r>
        <w:rPr>
          <w:b/>
          <w:bCs/>
        </w:rPr>
        <w:t>Grijs gebied</w:t>
      </w:r>
    </w:p>
    <w:p w14:paraId="3BFEB8B4" w14:textId="77777777" w:rsidR="004013C6" w:rsidRPr="004013C6" w:rsidRDefault="004013C6" w:rsidP="004013C6">
      <w:r w:rsidRPr="004013C6">
        <w:t xml:space="preserve">Er blijft echter  sprake van een grijs gebied en er moet hierin  ook sprake kunnen zijn van enige flexibiliteit als dit nodig is om de ondersteuning rond een kind goed te organiseren.  Als een kind ook jeugdhulp heeft is het van belang dat het gezinsplan/plan van de hulp thuis en het schoolplan op elkaar afgestemd zijn. Dat wat in het OPP hoort om de onderwijsdoelen te bereiken zijn van het onderwijs.  Zodat het ook echt één gezin een plan wordt. </w:t>
      </w:r>
    </w:p>
    <w:sectPr w:rsidR="004013C6" w:rsidRPr="004013C6" w:rsidSect="00547A7D">
      <w:pgSz w:w="11906" w:h="16838"/>
      <w:pgMar w:top="1418" w:right="1304" w:bottom="1973"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F467A" w14:textId="77777777" w:rsidR="00BF66AA" w:rsidRDefault="00BF66AA" w:rsidP="00ED0540">
      <w:pPr>
        <w:spacing w:line="240" w:lineRule="auto"/>
      </w:pPr>
      <w:r>
        <w:separator/>
      </w:r>
    </w:p>
  </w:endnote>
  <w:endnote w:type="continuationSeparator" w:id="0">
    <w:p w14:paraId="0AF2CB3A" w14:textId="77777777" w:rsidR="00BF66AA" w:rsidRDefault="00BF66AA" w:rsidP="00ED0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DB37" w14:textId="77777777" w:rsidR="00BF66AA" w:rsidRDefault="00BF66AA" w:rsidP="00ED0540">
      <w:pPr>
        <w:spacing w:line="240" w:lineRule="auto"/>
      </w:pPr>
      <w:r>
        <w:separator/>
      </w:r>
    </w:p>
  </w:footnote>
  <w:footnote w:type="continuationSeparator" w:id="0">
    <w:p w14:paraId="150673C1" w14:textId="77777777" w:rsidR="00BF66AA" w:rsidRDefault="00BF66AA" w:rsidP="00ED05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AC5"/>
    <w:multiLevelType w:val="hybridMultilevel"/>
    <w:tmpl w:val="EA789D9E"/>
    <w:lvl w:ilvl="0" w:tplc="29EC872C">
      <w:start w:val="1"/>
      <w:numFmt w:val="decimal"/>
      <w:pStyle w:val="NummeringVetOnderstreept"/>
      <w:lvlText w:val="%1."/>
      <w:lvlJc w:val="left"/>
      <w:pPr>
        <w:ind w:left="386" w:hanging="38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5715BC"/>
    <w:multiLevelType w:val="hybridMultilevel"/>
    <w:tmpl w:val="21EEF6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886370"/>
    <w:multiLevelType w:val="hybridMultilevel"/>
    <w:tmpl w:val="17F2051A"/>
    <w:lvl w:ilvl="0" w:tplc="19E4C9AA">
      <w:start w:val="1"/>
      <w:numFmt w:val="decimal"/>
      <w:pStyle w:val="NummeringVet"/>
      <w:lvlText w:val="%1."/>
      <w:lvlJc w:val="left"/>
      <w:pPr>
        <w:ind w:left="386" w:hanging="386"/>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20567D"/>
    <w:multiLevelType w:val="hybridMultilevel"/>
    <w:tmpl w:val="987C63A2"/>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167D7C74"/>
    <w:multiLevelType w:val="hybridMultilevel"/>
    <w:tmpl w:val="74FEA6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F3427B2"/>
    <w:multiLevelType w:val="hybridMultilevel"/>
    <w:tmpl w:val="5F604B34"/>
    <w:lvl w:ilvl="0" w:tplc="90BAD172">
      <w:start w:val="1"/>
      <w:numFmt w:val="bullet"/>
      <w:pStyle w:val="Opsomming"/>
      <w:lvlText w:val=""/>
      <w:lvlJc w:val="left"/>
      <w:pPr>
        <w:ind w:left="386" w:hanging="386"/>
      </w:pPr>
      <w:rPr>
        <w:rFonts w:ascii="Symbol" w:hAnsi="Symbol" w:hint="default"/>
        <w:color w:val="44B4E2"/>
      </w:rPr>
    </w:lvl>
    <w:lvl w:ilvl="1" w:tplc="04130001">
      <w:start w:val="1"/>
      <w:numFmt w:val="bullet"/>
      <w:lvlText w:val=""/>
      <w:lvlJc w:val="left"/>
      <w:pPr>
        <w:ind w:left="771" w:hanging="385"/>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70029F"/>
    <w:multiLevelType w:val="multilevel"/>
    <w:tmpl w:val="9264A56A"/>
    <w:lvl w:ilvl="0">
      <w:start w:val="1"/>
      <w:numFmt w:val="decimal"/>
      <w:pStyle w:val="Kop1"/>
      <w:lvlText w:val="%1."/>
      <w:lvlJc w:val="left"/>
      <w:pPr>
        <w:ind w:left="386" w:hanging="386"/>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0A045F4"/>
    <w:multiLevelType w:val="hybridMultilevel"/>
    <w:tmpl w:val="A59C0360"/>
    <w:lvl w:ilvl="0" w:tplc="F43AE992">
      <w:start w:val="1"/>
      <w:numFmt w:val="decimal"/>
      <w:pStyle w:val="Opsommingsteken"/>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B41C4B"/>
    <w:multiLevelType w:val="hybridMultilevel"/>
    <w:tmpl w:val="24482A96"/>
    <w:lvl w:ilvl="0" w:tplc="4A4EE4D4">
      <w:start w:val="1"/>
      <w:numFmt w:val="decimal"/>
      <w:pStyle w:val="Nummering"/>
      <w:lvlText w:val="%1."/>
      <w:lvlJc w:val="left"/>
      <w:pPr>
        <w:ind w:left="386" w:hanging="38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B40F90"/>
    <w:multiLevelType w:val="hybridMultilevel"/>
    <w:tmpl w:val="618A651A"/>
    <w:lvl w:ilvl="0" w:tplc="04130001">
      <w:start w:val="1"/>
      <w:numFmt w:val="bullet"/>
      <w:lvlText w:val=""/>
      <w:lvlJc w:val="left"/>
      <w:pPr>
        <w:ind w:left="360" w:hanging="360"/>
      </w:pPr>
      <w:rPr>
        <w:rFonts w:ascii="Symbol" w:hAnsi="Symbol" w:hint="default"/>
      </w:rPr>
    </w:lvl>
    <w:lvl w:ilvl="1" w:tplc="229C0A20">
      <w:numFmt w:val="bullet"/>
      <w:lvlText w:val="•"/>
      <w:lvlJc w:val="left"/>
      <w:pPr>
        <w:ind w:left="1080" w:hanging="360"/>
      </w:pPr>
      <w:rPr>
        <w:rFonts w:ascii="Trebuchet MS" w:eastAsiaTheme="minorHAnsi" w:hAnsi="Trebuchet MS"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BC33962"/>
    <w:multiLevelType w:val="hybridMultilevel"/>
    <w:tmpl w:val="A30A2A82"/>
    <w:lvl w:ilvl="0" w:tplc="0F64BB68">
      <w:start w:val="1"/>
      <w:numFmt w:val="decimal"/>
      <w:lvlText w:val="%1."/>
      <w:lvlJc w:val="left"/>
      <w:pPr>
        <w:ind w:left="340"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6"/>
  </w:num>
  <w:num w:numId="5">
    <w:abstractNumId w:val="2"/>
  </w:num>
  <w:num w:numId="6">
    <w:abstractNumId w:val="8"/>
  </w:num>
  <w:num w:numId="7">
    <w:abstractNumId w:val="0"/>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C6"/>
    <w:rsid w:val="00007C4A"/>
    <w:rsid w:val="00015DDD"/>
    <w:rsid w:val="00020212"/>
    <w:rsid w:val="00032B48"/>
    <w:rsid w:val="00034D53"/>
    <w:rsid w:val="00064A03"/>
    <w:rsid w:val="000A5C71"/>
    <w:rsid w:val="000B7ADD"/>
    <w:rsid w:val="000C0ACB"/>
    <w:rsid w:val="000E1514"/>
    <w:rsid w:val="000E24CD"/>
    <w:rsid w:val="00104A9E"/>
    <w:rsid w:val="00112764"/>
    <w:rsid w:val="00117A01"/>
    <w:rsid w:val="00132474"/>
    <w:rsid w:val="00147B22"/>
    <w:rsid w:val="001D0CEC"/>
    <w:rsid w:val="001F02BC"/>
    <w:rsid w:val="001F0E3C"/>
    <w:rsid w:val="001F731A"/>
    <w:rsid w:val="00202BDB"/>
    <w:rsid w:val="00213829"/>
    <w:rsid w:val="00234782"/>
    <w:rsid w:val="00270C8F"/>
    <w:rsid w:val="0027532E"/>
    <w:rsid w:val="00290885"/>
    <w:rsid w:val="002A5FDB"/>
    <w:rsid w:val="002A7F69"/>
    <w:rsid w:val="002E02A4"/>
    <w:rsid w:val="002E5C2C"/>
    <w:rsid w:val="002F075B"/>
    <w:rsid w:val="002F0F06"/>
    <w:rsid w:val="0032609E"/>
    <w:rsid w:val="003264E9"/>
    <w:rsid w:val="00337B33"/>
    <w:rsid w:val="00344192"/>
    <w:rsid w:val="00350FC4"/>
    <w:rsid w:val="00356A4C"/>
    <w:rsid w:val="0036124D"/>
    <w:rsid w:val="003A5CE3"/>
    <w:rsid w:val="003C3568"/>
    <w:rsid w:val="003D6495"/>
    <w:rsid w:val="003E0BAC"/>
    <w:rsid w:val="003E3D6A"/>
    <w:rsid w:val="003E5F85"/>
    <w:rsid w:val="004013C6"/>
    <w:rsid w:val="004074FC"/>
    <w:rsid w:val="0041428A"/>
    <w:rsid w:val="00436661"/>
    <w:rsid w:val="00442CED"/>
    <w:rsid w:val="00475713"/>
    <w:rsid w:val="00497162"/>
    <w:rsid w:val="00497D0D"/>
    <w:rsid w:val="004E44E9"/>
    <w:rsid w:val="004F6D93"/>
    <w:rsid w:val="0050170F"/>
    <w:rsid w:val="00527B50"/>
    <w:rsid w:val="005472A8"/>
    <w:rsid w:val="00547A7D"/>
    <w:rsid w:val="005512AD"/>
    <w:rsid w:val="0056409C"/>
    <w:rsid w:val="00565449"/>
    <w:rsid w:val="005900D0"/>
    <w:rsid w:val="005E1D30"/>
    <w:rsid w:val="00625BF2"/>
    <w:rsid w:val="006A1BA1"/>
    <w:rsid w:val="006A7870"/>
    <w:rsid w:val="006D0B02"/>
    <w:rsid w:val="006D6A1C"/>
    <w:rsid w:val="006E3D27"/>
    <w:rsid w:val="006E72F4"/>
    <w:rsid w:val="006F7BAB"/>
    <w:rsid w:val="00724BC3"/>
    <w:rsid w:val="00732CB4"/>
    <w:rsid w:val="00734FCD"/>
    <w:rsid w:val="00791291"/>
    <w:rsid w:val="007C5BA5"/>
    <w:rsid w:val="007D05A6"/>
    <w:rsid w:val="007D23E5"/>
    <w:rsid w:val="007E4AB6"/>
    <w:rsid w:val="007E7718"/>
    <w:rsid w:val="00802877"/>
    <w:rsid w:val="00807189"/>
    <w:rsid w:val="00807CFA"/>
    <w:rsid w:val="00810144"/>
    <w:rsid w:val="00815547"/>
    <w:rsid w:val="008178EA"/>
    <w:rsid w:val="0082016A"/>
    <w:rsid w:val="0082054A"/>
    <w:rsid w:val="00840776"/>
    <w:rsid w:val="00854FC6"/>
    <w:rsid w:val="008711AB"/>
    <w:rsid w:val="008869AE"/>
    <w:rsid w:val="008B4E10"/>
    <w:rsid w:val="008C2F98"/>
    <w:rsid w:val="008C74B3"/>
    <w:rsid w:val="008E28EC"/>
    <w:rsid w:val="00901E02"/>
    <w:rsid w:val="009259DC"/>
    <w:rsid w:val="00960D80"/>
    <w:rsid w:val="0098778C"/>
    <w:rsid w:val="009A46FA"/>
    <w:rsid w:val="009B118B"/>
    <w:rsid w:val="009B147F"/>
    <w:rsid w:val="009B374B"/>
    <w:rsid w:val="009C2D1F"/>
    <w:rsid w:val="009E04BF"/>
    <w:rsid w:val="009E5A83"/>
    <w:rsid w:val="00A016D3"/>
    <w:rsid w:val="00A14ACE"/>
    <w:rsid w:val="00A319FB"/>
    <w:rsid w:val="00A4108B"/>
    <w:rsid w:val="00A53AF7"/>
    <w:rsid w:val="00A634D6"/>
    <w:rsid w:val="00AA0E26"/>
    <w:rsid w:val="00AA5EED"/>
    <w:rsid w:val="00AB73C1"/>
    <w:rsid w:val="00AF4001"/>
    <w:rsid w:val="00B155BC"/>
    <w:rsid w:val="00B24628"/>
    <w:rsid w:val="00B27849"/>
    <w:rsid w:val="00B27EF0"/>
    <w:rsid w:val="00B30162"/>
    <w:rsid w:val="00B41AD5"/>
    <w:rsid w:val="00B42841"/>
    <w:rsid w:val="00B432B0"/>
    <w:rsid w:val="00B6434D"/>
    <w:rsid w:val="00B831EF"/>
    <w:rsid w:val="00B86557"/>
    <w:rsid w:val="00B87663"/>
    <w:rsid w:val="00B940BB"/>
    <w:rsid w:val="00BA4981"/>
    <w:rsid w:val="00BB6235"/>
    <w:rsid w:val="00BC6569"/>
    <w:rsid w:val="00BD3F1C"/>
    <w:rsid w:val="00BD76D7"/>
    <w:rsid w:val="00BE09F0"/>
    <w:rsid w:val="00BF66AA"/>
    <w:rsid w:val="00C8516C"/>
    <w:rsid w:val="00CA45F2"/>
    <w:rsid w:val="00CC100B"/>
    <w:rsid w:val="00CF40A8"/>
    <w:rsid w:val="00D0656B"/>
    <w:rsid w:val="00D363C7"/>
    <w:rsid w:val="00D5105D"/>
    <w:rsid w:val="00D96BC5"/>
    <w:rsid w:val="00DD2050"/>
    <w:rsid w:val="00DD7FBC"/>
    <w:rsid w:val="00DF10E4"/>
    <w:rsid w:val="00DF4367"/>
    <w:rsid w:val="00E01DD9"/>
    <w:rsid w:val="00E16109"/>
    <w:rsid w:val="00E25872"/>
    <w:rsid w:val="00E310C7"/>
    <w:rsid w:val="00E80B48"/>
    <w:rsid w:val="00E85E18"/>
    <w:rsid w:val="00E85EDC"/>
    <w:rsid w:val="00EB29A4"/>
    <w:rsid w:val="00EC52CB"/>
    <w:rsid w:val="00ED0540"/>
    <w:rsid w:val="00EE35A4"/>
    <w:rsid w:val="00EF64E2"/>
    <w:rsid w:val="00F1144F"/>
    <w:rsid w:val="00F16A4C"/>
    <w:rsid w:val="00F46127"/>
    <w:rsid w:val="00F6026A"/>
    <w:rsid w:val="00F76002"/>
    <w:rsid w:val="00F77ACD"/>
    <w:rsid w:val="00F91F0D"/>
    <w:rsid w:val="00F93A26"/>
    <w:rsid w:val="00FA0828"/>
    <w:rsid w:val="00FB0FE1"/>
    <w:rsid w:val="00FC3937"/>
    <w:rsid w:val="00FC461D"/>
    <w:rsid w:val="00FC6931"/>
    <w:rsid w:val="00FE44AE"/>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3D73F"/>
  <w15:docId w15:val="{15052547-0BC4-4B7C-B1B6-4DDA6998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11AB"/>
    <w:pPr>
      <w:spacing w:after="0" w:line="280" w:lineRule="atLeast"/>
    </w:pPr>
    <w:rPr>
      <w:rFonts w:ascii="Trebuchet MS" w:hAnsi="Trebuchet MS"/>
      <w:sz w:val="20"/>
      <w:lang w:val="nl-NL"/>
    </w:rPr>
  </w:style>
  <w:style w:type="paragraph" w:styleId="Kop1">
    <w:name w:val="heading 1"/>
    <w:basedOn w:val="Standaard"/>
    <w:next w:val="Standaard"/>
    <w:link w:val="Kop1Char"/>
    <w:uiPriority w:val="7"/>
    <w:qFormat/>
    <w:rsid w:val="007D23E5"/>
    <w:pPr>
      <w:keepNext/>
      <w:keepLines/>
      <w:numPr>
        <w:numId w:val="4"/>
      </w:numPr>
      <w:spacing w:before="240" w:after="120" w:line="560" w:lineRule="atLeast"/>
      <w:ind w:left="567" w:hanging="567"/>
      <w:outlineLvl w:val="0"/>
    </w:pPr>
    <w:rPr>
      <w:rFonts w:eastAsiaTheme="majorEastAsia" w:cstheme="majorBidi"/>
      <w:b/>
      <w:sz w:val="32"/>
      <w:szCs w:val="32"/>
    </w:rPr>
  </w:style>
  <w:style w:type="paragraph" w:styleId="Kop2">
    <w:name w:val="heading 2"/>
    <w:basedOn w:val="Standaard"/>
    <w:next w:val="Standaard"/>
    <w:link w:val="Kop2Char"/>
    <w:uiPriority w:val="8"/>
    <w:qFormat/>
    <w:rsid w:val="00007C4A"/>
    <w:pPr>
      <w:keepNext/>
      <w:keepLines/>
      <w:numPr>
        <w:ilvl w:val="1"/>
        <w:numId w:val="4"/>
      </w:numPr>
      <w:spacing w:before="240" w:after="120"/>
      <w:outlineLvl w:val="1"/>
    </w:pPr>
    <w:rPr>
      <w:rFonts w:eastAsiaTheme="majorEastAsia" w:cstheme="majorBidi"/>
      <w:b/>
      <w:sz w:val="28"/>
      <w:szCs w:val="26"/>
    </w:rPr>
  </w:style>
  <w:style w:type="paragraph" w:styleId="Kop3">
    <w:name w:val="heading 3"/>
    <w:basedOn w:val="Standaard"/>
    <w:next w:val="Standaard"/>
    <w:link w:val="Kop3Char"/>
    <w:uiPriority w:val="9"/>
    <w:qFormat/>
    <w:rsid w:val="00EC52CB"/>
    <w:pPr>
      <w:keepNext/>
      <w:keepLines/>
      <w:numPr>
        <w:ilvl w:val="2"/>
        <w:numId w:val="4"/>
      </w:numPr>
      <w:spacing w:before="240" w:after="120"/>
      <w:outlineLvl w:val="2"/>
    </w:pPr>
    <w:rPr>
      <w:rFonts w:eastAsiaTheme="majorEastAsia"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Lijstalinea"/>
    <w:link w:val="OpsommingChar"/>
    <w:uiPriority w:val="2"/>
    <w:qFormat/>
    <w:rsid w:val="000A5C71"/>
    <w:pPr>
      <w:numPr>
        <w:numId w:val="3"/>
      </w:numPr>
    </w:pPr>
  </w:style>
  <w:style w:type="character" w:customStyle="1" w:styleId="OpsommingChar">
    <w:name w:val="Opsomming Char"/>
    <w:basedOn w:val="Standaardalinea-lettertype"/>
    <w:link w:val="Opsomming"/>
    <w:uiPriority w:val="2"/>
    <w:rsid w:val="000A5C71"/>
    <w:rPr>
      <w:rFonts w:ascii="Trebuchet MS" w:hAnsi="Trebuchet MS"/>
      <w:sz w:val="20"/>
      <w:lang w:val="nl-NL"/>
    </w:rPr>
  </w:style>
  <w:style w:type="paragraph" w:styleId="Lijstalinea">
    <w:name w:val="List Paragraph"/>
    <w:basedOn w:val="Standaard"/>
    <w:uiPriority w:val="34"/>
    <w:rsid w:val="00802877"/>
    <w:pPr>
      <w:ind w:left="720"/>
      <w:contextualSpacing/>
    </w:pPr>
  </w:style>
  <w:style w:type="paragraph" w:customStyle="1" w:styleId="Opsommingsteken">
    <w:name w:val="Opsommingsteken"/>
    <w:basedOn w:val="Standaard"/>
    <w:link w:val="OpsommingstekenChar"/>
    <w:uiPriority w:val="99"/>
    <w:rsid w:val="0082016A"/>
    <w:pPr>
      <w:numPr>
        <w:numId w:val="2"/>
      </w:numPr>
      <w:spacing w:after="120" w:line="276" w:lineRule="auto"/>
    </w:pPr>
    <w:rPr>
      <w:rFonts w:ascii="Century Gothic" w:hAnsi="Century Gothic"/>
    </w:rPr>
  </w:style>
  <w:style w:type="character" w:customStyle="1" w:styleId="OpsommingstekenChar">
    <w:name w:val="Opsommingsteken Char"/>
    <w:basedOn w:val="Standaardalinea-lettertype"/>
    <w:link w:val="Opsommingsteken"/>
    <w:uiPriority w:val="99"/>
    <w:rsid w:val="000A5C71"/>
    <w:rPr>
      <w:rFonts w:ascii="Century Gothic" w:hAnsi="Century Gothic"/>
      <w:sz w:val="20"/>
      <w:lang w:val="nl-NL"/>
    </w:rPr>
  </w:style>
  <w:style w:type="paragraph" w:styleId="Koptekst">
    <w:name w:val="header"/>
    <w:basedOn w:val="Standaard"/>
    <w:link w:val="KoptekstChar"/>
    <w:uiPriority w:val="12"/>
    <w:qFormat/>
    <w:rsid w:val="00034D53"/>
    <w:pPr>
      <w:tabs>
        <w:tab w:val="center" w:pos="4536"/>
        <w:tab w:val="right" w:pos="9072"/>
      </w:tabs>
    </w:pPr>
    <w:rPr>
      <w:sz w:val="16"/>
    </w:rPr>
  </w:style>
  <w:style w:type="character" w:customStyle="1" w:styleId="KoptekstChar">
    <w:name w:val="Koptekst Char"/>
    <w:basedOn w:val="Standaardalinea-lettertype"/>
    <w:link w:val="Koptekst"/>
    <w:uiPriority w:val="12"/>
    <w:rsid w:val="008711AB"/>
    <w:rPr>
      <w:rFonts w:ascii="Trebuchet MS" w:hAnsi="Trebuchet MS"/>
      <w:sz w:val="16"/>
    </w:rPr>
  </w:style>
  <w:style w:type="paragraph" w:styleId="Voettekst">
    <w:name w:val="footer"/>
    <w:basedOn w:val="Standaard"/>
    <w:link w:val="VoettekstChar"/>
    <w:uiPriority w:val="99"/>
    <w:unhideWhenUsed/>
    <w:rsid w:val="00ED05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D0540"/>
  </w:style>
  <w:style w:type="table" w:styleId="Tabelraster">
    <w:name w:val="Table Grid"/>
    <w:basedOn w:val="Standaardtabel"/>
    <w:uiPriority w:val="39"/>
    <w:rsid w:val="00B4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B374B"/>
    <w:rPr>
      <w:color w:val="0563C1" w:themeColor="hyperlink"/>
      <w:u w:val="single"/>
    </w:rPr>
  </w:style>
  <w:style w:type="character" w:customStyle="1" w:styleId="Onopgelostemelding1">
    <w:name w:val="Onopgeloste melding1"/>
    <w:basedOn w:val="Standaardalinea-lettertype"/>
    <w:uiPriority w:val="99"/>
    <w:semiHidden/>
    <w:unhideWhenUsed/>
    <w:rsid w:val="009B374B"/>
    <w:rPr>
      <w:color w:val="808080"/>
      <w:shd w:val="clear" w:color="auto" w:fill="E6E6E6"/>
    </w:rPr>
  </w:style>
  <w:style w:type="character" w:styleId="Tekstvantijdelijkeaanduiding">
    <w:name w:val="Placeholder Text"/>
    <w:basedOn w:val="Standaardalinea-lettertype"/>
    <w:uiPriority w:val="99"/>
    <w:semiHidden/>
    <w:rsid w:val="000E1514"/>
    <w:rPr>
      <w:color w:val="808080"/>
    </w:rPr>
  </w:style>
  <w:style w:type="paragraph" w:customStyle="1" w:styleId="TekstVet">
    <w:name w:val="Tekst Vet"/>
    <w:basedOn w:val="Standaard"/>
    <w:link w:val="TekstVetChar"/>
    <w:uiPriority w:val="1"/>
    <w:qFormat/>
    <w:rsid w:val="00BC6569"/>
    <w:pPr>
      <w:spacing w:after="160" w:line="259" w:lineRule="auto"/>
    </w:pPr>
    <w:rPr>
      <w:b/>
    </w:rPr>
  </w:style>
  <w:style w:type="character" w:customStyle="1" w:styleId="TekstVetChar">
    <w:name w:val="Tekst Vet Char"/>
    <w:basedOn w:val="Standaardalinea-lettertype"/>
    <w:link w:val="TekstVet"/>
    <w:uiPriority w:val="1"/>
    <w:rsid w:val="000A5C71"/>
    <w:rPr>
      <w:rFonts w:ascii="Trebuchet MS" w:hAnsi="Trebuchet MS"/>
      <w:b/>
      <w:sz w:val="20"/>
    </w:rPr>
  </w:style>
  <w:style w:type="paragraph" w:styleId="Titel">
    <w:name w:val="Title"/>
    <w:basedOn w:val="Standaard"/>
    <w:next w:val="Standaard"/>
    <w:link w:val="TitelChar"/>
    <w:uiPriority w:val="10"/>
    <w:qFormat/>
    <w:rsid w:val="002E5C2C"/>
    <w:pPr>
      <w:spacing w:line="560" w:lineRule="atLeast"/>
      <w:contextualSpacing/>
    </w:pPr>
    <w:rPr>
      <w:rFonts w:eastAsiaTheme="majorEastAsia" w:cstheme="majorBidi"/>
      <w:b/>
      <w:spacing w:val="-10"/>
      <w:kern w:val="28"/>
      <w:sz w:val="48"/>
      <w:szCs w:val="56"/>
    </w:rPr>
  </w:style>
  <w:style w:type="character" w:customStyle="1" w:styleId="TitelChar">
    <w:name w:val="Titel Char"/>
    <w:basedOn w:val="Standaardalinea-lettertype"/>
    <w:link w:val="Titel"/>
    <w:uiPriority w:val="10"/>
    <w:rsid w:val="002E5C2C"/>
    <w:rPr>
      <w:rFonts w:ascii="Trebuchet MS" w:eastAsiaTheme="majorEastAsia" w:hAnsi="Trebuchet MS" w:cstheme="majorBidi"/>
      <w:b/>
      <w:spacing w:val="-10"/>
      <w:kern w:val="28"/>
      <w:sz w:val="48"/>
      <w:szCs w:val="56"/>
    </w:rPr>
  </w:style>
  <w:style w:type="paragraph" w:customStyle="1" w:styleId="Subtitel">
    <w:name w:val="Subtitel"/>
    <w:basedOn w:val="Standaard"/>
    <w:link w:val="SubtitelChar"/>
    <w:uiPriority w:val="11"/>
    <w:qFormat/>
    <w:rsid w:val="00CF40A8"/>
    <w:rPr>
      <w:sz w:val="28"/>
    </w:rPr>
  </w:style>
  <w:style w:type="character" w:customStyle="1" w:styleId="Kop1Char">
    <w:name w:val="Kop 1 Char"/>
    <w:basedOn w:val="Standaardalinea-lettertype"/>
    <w:link w:val="Kop1"/>
    <w:uiPriority w:val="7"/>
    <w:rsid w:val="007D23E5"/>
    <w:rPr>
      <w:rFonts w:ascii="Trebuchet MS" w:eastAsiaTheme="majorEastAsia" w:hAnsi="Trebuchet MS" w:cstheme="majorBidi"/>
      <w:b/>
      <w:sz w:val="32"/>
      <w:szCs w:val="32"/>
    </w:rPr>
  </w:style>
  <w:style w:type="character" w:customStyle="1" w:styleId="SubtitelChar">
    <w:name w:val="Subtitel Char"/>
    <w:basedOn w:val="Standaardalinea-lettertype"/>
    <w:link w:val="Subtitel"/>
    <w:uiPriority w:val="11"/>
    <w:rsid w:val="008711AB"/>
    <w:rPr>
      <w:rFonts w:ascii="Trebuchet MS" w:hAnsi="Trebuchet MS"/>
      <w:sz w:val="28"/>
      <w:lang w:val="nl-NL"/>
    </w:rPr>
  </w:style>
  <w:style w:type="paragraph" w:customStyle="1" w:styleId="NummeringVetOnderstreept">
    <w:name w:val="Nummering Vet Onderstreept"/>
    <w:basedOn w:val="Standaard"/>
    <w:link w:val="NummeringVetOnderstreeptChar"/>
    <w:uiPriority w:val="5"/>
    <w:qFormat/>
    <w:rsid w:val="00112764"/>
    <w:pPr>
      <w:numPr>
        <w:numId w:val="7"/>
      </w:numPr>
      <w:pBdr>
        <w:bottom w:val="single" w:sz="4" w:space="1" w:color="auto"/>
      </w:pBdr>
    </w:pPr>
    <w:rPr>
      <w:b/>
    </w:rPr>
  </w:style>
  <w:style w:type="character" w:customStyle="1" w:styleId="Kop2Char">
    <w:name w:val="Kop 2 Char"/>
    <w:basedOn w:val="Standaardalinea-lettertype"/>
    <w:link w:val="Kop2"/>
    <w:uiPriority w:val="8"/>
    <w:rsid w:val="008711AB"/>
    <w:rPr>
      <w:rFonts w:ascii="Trebuchet MS" w:eastAsiaTheme="majorEastAsia" w:hAnsi="Trebuchet MS" w:cstheme="majorBidi"/>
      <w:b/>
      <w:sz w:val="28"/>
      <w:szCs w:val="26"/>
    </w:rPr>
  </w:style>
  <w:style w:type="character" w:customStyle="1" w:styleId="NummeringVetOnderstreeptChar">
    <w:name w:val="Nummering Vet Onderstreept Char"/>
    <w:basedOn w:val="Standaardalinea-lettertype"/>
    <w:link w:val="NummeringVetOnderstreept"/>
    <w:uiPriority w:val="5"/>
    <w:rsid w:val="00112764"/>
    <w:rPr>
      <w:rFonts w:ascii="Trebuchet MS" w:hAnsi="Trebuchet MS"/>
      <w:b/>
      <w:sz w:val="20"/>
      <w:lang w:val="nl-NL"/>
    </w:rPr>
  </w:style>
  <w:style w:type="character" w:customStyle="1" w:styleId="Kop3Char">
    <w:name w:val="Kop 3 Char"/>
    <w:basedOn w:val="Standaardalinea-lettertype"/>
    <w:link w:val="Kop3"/>
    <w:uiPriority w:val="9"/>
    <w:rsid w:val="008711AB"/>
    <w:rPr>
      <w:rFonts w:ascii="Trebuchet MS" w:eastAsiaTheme="majorEastAsia" w:hAnsi="Trebuchet MS" w:cstheme="majorBidi"/>
      <w:b/>
      <w:sz w:val="24"/>
      <w:szCs w:val="24"/>
    </w:rPr>
  </w:style>
  <w:style w:type="paragraph" w:customStyle="1" w:styleId="NummeringVet">
    <w:name w:val="Nummering Vet"/>
    <w:basedOn w:val="Lijstalinea"/>
    <w:link w:val="NummeringVetChar"/>
    <w:uiPriority w:val="4"/>
    <w:qFormat/>
    <w:rsid w:val="00270C8F"/>
    <w:pPr>
      <w:numPr>
        <w:numId w:val="5"/>
      </w:numPr>
    </w:pPr>
    <w:rPr>
      <w:b/>
    </w:rPr>
  </w:style>
  <w:style w:type="paragraph" w:customStyle="1" w:styleId="Nummering">
    <w:name w:val="Nummering"/>
    <w:basedOn w:val="Standaard"/>
    <w:link w:val="NummeringChar"/>
    <w:uiPriority w:val="3"/>
    <w:qFormat/>
    <w:rsid w:val="00F93A26"/>
    <w:pPr>
      <w:numPr>
        <w:numId w:val="6"/>
      </w:numPr>
    </w:pPr>
  </w:style>
  <w:style w:type="character" w:customStyle="1" w:styleId="NummeringVetChar">
    <w:name w:val="Nummering Vet Char"/>
    <w:basedOn w:val="Standaardalinea-lettertype"/>
    <w:link w:val="NummeringVet"/>
    <w:uiPriority w:val="4"/>
    <w:rsid w:val="008711AB"/>
    <w:rPr>
      <w:rFonts w:ascii="Trebuchet MS" w:hAnsi="Trebuchet MS"/>
      <w:b/>
      <w:sz w:val="20"/>
    </w:rPr>
  </w:style>
  <w:style w:type="paragraph" w:customStyle="1" w:styleId="Kop">
    <w:name w:val="Kop"/>
    <w:basedOn w:val="Standaard"/>
    <w:link w:val="KopChar"/>
    <w:uiPriority w:val="6"/>
    <w:qFormat/>
    <w:rsid w:val="00015DDD"/>
    <w:pPr>
      <w:spacing w:line="560" w:lineRule="atLeast"/>
    </w:pPr>
    <w:rPr>
      <w:b/>
      <w:sz w:val="32"/>
    </w:rPr>
  </w:style>
  <w:style w:type="character" w:customStyle="1" w:styleId="NummeringChar">
    <w:name w:val="Nummering Char"/>
    <w:basedOn w:val="Standaardalinea-lettertype"/>
    <w:link w:val="Nummering"/>
    <w:uiPriority w:val="3"/>
    <w:rsid w:val="008711AB"/>
    <w:rPr>
      <w:rFonts w:ascii="Trebuchet MS" w:hAnsi="Trebuchet MS"/>
      <w:sz w:val="20"/>
    </w:rPr>
  </w:style>
  <w:style w:type="character" w:customStyle="1" w:styleId="KopChar">
    <w:name w:val="Kop Char"/>
    <w:basedOn w:val="Standaardalinea-lettertype"/>
    <w:link w:val="Kop"/>
    <w:uiPriority w:val="6"/>
    <w:rsid w:val="008711AB"/>
    <w:rPr>
      <w:rFonts w:ascii="Trebuchet MS" w:hAnsi="Trebuchet MS"/>
      <w:b/>
      <w:sz w:val="32"/>
    </w:rPr>
  </w:style>
  <w:style w:type="paragraph" w:styleId="Inhopg2">
    <w:name w:val="toc 2"/>
    <w:basedOn w:val="Standaard"/>
    <w:next w:val="Standaard"/>
    <w:uiPriority w:val="39"/>
    <w:unhideWhenUsed/>
    <w:rsid w:val="009E04BF"/>
    <w:pPr>
      <w:spacing w:after="100"/>
      <w:ind w:left="1702" w:hanging="851"/>
    </w:pPr>
  </w:style>
  <w:style w:type="paragraph" w:styleId="Inhopg1">
    <w:name w:val="toc 1"/>
    <w:basedOn w:val="Standaard"/>
    <w:next w:val="Standaard"/>
    <w:uiPriority w:val="39"/>
    <w:unhideWhenUsed/>
    <w:rsid w:val="00D96BC5"/>
    <w:pPr>
      <w:spacing w:after="100"/>
      <w:ind w:left="851" w:hanging="851"/>
    </w:pPr>
    <w:rPr>
      <w:b/>
    </w:rPr>
  </w:style>
  <w:style w:type="paragraph" w:styleId="Inhopg3">
    <w:name w:val="toc 3"/>
    <w:basedOn w:val="Standaard"/>
    <w:next w:val="Standaard"/>
    <w:uiPriority w:val="39"/>
    <w:unhideWhenUsed/>
    <w:rsid w:val="009E04BF"/>
    <w:pPr>
      <w:spacing w:after="100"/>
      <w:ind w:left="1702" w:hanging="851"/>
    </w:pPr>
  </w:style>
  <w:style w:type="character" w:styleId="GevolgdeHyperlink">
    <w:name w:val="FollowedHyperlink"/>
    <w:basedOn w:val="Standaardalinea-lettertype"/>
    <w:uiPriority w:val="99"/>
    <w:semiHidden/>
    <w:unhideWhenUsed/>
    <w:rsid w:val="00B246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2182">
      <w:bodyDiv w:val="1"/>
      <w:marLeft w:val="0"/>
      <w:marRight w:val="0"/>
      <w:marTop w:val="0"/>
      <w:marBottom w:val="0"/>
      <w:divBdr>
        <w:top w:val="none" w:sz="0" w:space="0" w:color="auto"/>
        <w:left w:val="none" w:sz="0" w:space="0" w:color="auto"/>
        <w:bottom w:val="none" w:sz="0" w:space="0" w:color="auto"/>
        <w:right w:val="none" w:sz="0" w:space="0" w:color="auto"/>
      </w:divBdr>
    </w:div>
    <w:div w:id="202254629">
      <w:bodyDiv w:val="1"/>
      <w:marLeft w:val="0"/>
      <w:marRight w:val="0"/>
      <w:marTop w:val="0"/>
      <w:marBottom w:val="0"/>
      <w:divBdr>
        <w:top w:val="none" w:sz="0" w:space="0" w:color="auto"/>
        <w:left w:val="none" w:sz="0" w:space="0" w:color="auto"/>
        <w:bottom w:val="none" w:sz="0" w:space="0" w:color="auto"/>
        <w:right w:val="none" w:sz="0" w:space="0" w:color="auto"/>
      </w:divBdr>
    </w:div>
    <w:div w:id="242614866">
      <w:bodyDiv w:val="1"/>
      <w:marLeft w:val="0"/>
      <w:marRight w:val="0"/>
      <w:marTop w:val="0"/>
      <w:marBottom w:val="0"/>
      <w:divBdr>
        <w:top w:val="none" w:sz="0" w:space="0" w:color="auto"/>
        <w:left w:val="none" w:sz="0" w:space="0" w:color="auto"/>
        <w:bottom w:val="none" w:sz="0" w:space="0" w:color="auto"/>
        <w:right w:val="none" w:sz="0" w:space="0" w:color="auto"/>
      </w:divBdr>
    </w:div>
    <w:div w:id="13258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derwijsconsument.nl/nieuwe-jeugdwet-2015/" TargetMode="External"/><Relationship Id="rId5" Type="http://schemas.openxmlformats.org/officeDocument/2006/relationships/settings" Target="settings.xml"/><Relationship Id="rId10" Type="http://schemas.openxmlformats.org/officeDocument/2006/relationships/hyperlink" Target="http://www.onderwijsconsument.nl/samenwerkingsverband-passend-onderwijs/" TargetMode="External"/><Relationship Id="rId4" Type="http://schemas.openxmlformats.org/officeDocument/2006/relationships/styles" Target="styles.xml"/><Relationship Id="rId9" Type="http://schemas.openxmlformats.org/officeDocument/2006/relationships/hyperlink" Target="http://www.onderwijsconsument.nl/wat-passend-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E5179A-9FFC-4B9A-9772-DF85382B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Normal</vt:lpstr>
    </vt:vector>
  </TitlesOfParts>
  <Company>HSS</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Klarinde Bosman</dc:creator>
  <cp:lastModifiedBy>wilma de wit</cp:lastModifiedBy>
  <cp:revision>3</cp:revision>
  <dcterms:created xsi:type="dcterms:W3CDTF">2020-05-19T09:56:00Z</dcterms:created>
  <dcterms:modified xsi:type="dcterms:W3CDTF">2020-06-02T07:30:00Z</dcterms:modified>
</cp:coreProperties>
</file>